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2829" w:rsidRDefault="00F72829" w:rsidP="004C107D">
      <w:pPr>
        <w:tabs>
          <w:tab w:val="left" w:pos="3696"/>
        </w:tabs>
        <w:ind w:left="-1417"/>
        <w:rPr>
          <w:rFonts w:ascii="Arial" w:hAnsi="Arial" w:cs="Arial"/>
          <w:b/>
          <w:sz w:val="28"/>
          <w:szCs w:val="28"/>
        </w:rPr>
      </w:pPr>
      <w:r>
        <w:rPr>
          <w:rFonts w:ascii="Arial" w:hAnsi="Arial" w:cs="Arial"/>
          <w:b/>
          <w:sz w:val="28"/>
          <w:szCs w:val="28"/>
        </w:rPr>
        <w:t xml:space="preserve">                   </w:t>
      </w:r>
    </w:p>
    <w:p w:rsidR="00F72829" w:rsidRDefault="00F72829" w:rsidP="00F72829">
      <w:pPr>
        <w:tabs>
          <w:tab w:val="left" w:pos="3696"/>
        </w:tabs>
        <w:rPr>
          <w:noProof/>
        </w:rPr>
      </w:pPr>
    </w:p>
    <w:p w:rsidR="00F72829" w:rsidRDefault="00F72829" w:rsidP="00F72829">
      <w:pPr>
        <w:tabs>
          <w:tab w:val="left" w:pos="3696"/>
        </w:tabs>
        <w:ind w:left="-1134"/>
        <w:rPr>
          <w:noProof/>
        </w:rPr>
      </w:pPr>
    </w:p>
    <w:p w:rsidR="00F72829" w:rsidRDefault="00F72829" w:rsidP="004C107D">
      <w:pPr>
        <w:tabs>
          <w:tab w:val="left" w:pos="3696"/>
        </w:tabs>
        <w:ind w:left="-1304"/>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noProof/>
        </w:rPr>
      </w:pPr>
    </w:p>
    <w:p w:rsidR="00F72829" w:rsidRDefault="00F72829" w:rsidP="00F72829">
      <w:pPr>
        <w:tabs>
          <w:tab w:val="left" w:pos="3696"/>
        </w:tabs>
        <w:ind w:left="-1134"/>
        <w:rPr>
          <w:noProof/>
        </w:rPr>
      </w:pPr>
    </w:p>
    <w:p w:rsidR="00F72829" w:rsidRDefault="00F72829" w:rsidP="00F72829">
      <w:pPr>
        <w:tabs>
          <w:tab w:val="left" w:pos="3696"/>
        </w:tabs>
        <w:ind w:left="-1134"/>
        <w:rPr>
          <w:noProof/>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Pr="007C2A5B" w:rsidRDefault="00F72829" w:rsidP="00F72829">
      <w:pPr>
        <w:tabs>
          <w:tab w:val="left" w:pos="3696"/>
        </w:tabs>
        <w:rPr>
          <w:rFonts w:ascii="Arial" w:hAnsi="Arial" w:cs="Arial"/>
          <w:b/>
          <w:sz w:val="28"/>
          <w:szCs w:val="28"/>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Pr="006023AA" w:rsidRDefault="00F72829" w:rsidP="00F72829">
      <w:pPr>
        <w:jc w:val="both"/>
        <w:rPr>
          <w:rFonts w:ascii="Calibri Light" w:hAnsi="Calibri Light" w:cs="Arial"/>
          <w:b/>
          <w:sz w:val="44"/>
          <w:szCs w:val="44"/>
          <w:u w:val="single"/>
        </w:rPr>
      </w:pPr>
      <w:bookmarkStart w:id="0" w:name="_Hlk505587978"/>
      <w:r>
        <w:rPr>
          <w:rFonts w:ascii="Arial" w:hAnsi="Arial" w:cs="Arial"/>
          <w:b/>
          <w:sz w:val="22"/>
          <w:szCs w:val="22"/>
        </w:rPr>
        <w:t xml:space="preserve">               </w:t>
      </w:r>
      <w:r w:rsidRPr="006023AA">
        <w:rPr>
          <w:rFonts w:ascii="Calibri Light" w:hAnsi="Calibri Light" w:cs="Arial"/>
          <w:b/>
          <w:sz w:val="44"/>
          <w:szCs w:val="44"/>
          <w:u w:val="single"/>
        </w:rPr>
        <w:t>Perspectives techniques taux Euro-USA-UK-JP</w:t>
      </w: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r>
        <w:rPr>
          <w:rFonts w:ascii="Calibri Light" w:hAnsi="Calibri Light" w:cs="Arial"/>
          <w:b/>
          <w:sz w:val="44"/>
          <w:szCs w:val="44"/>
        </w:rPr>
        <w:t xml:space="preserve">                </w:t>
      </w:r>
      <w:r w:rsidRPr="006023AA">
        <w:rPr>
          <w:rFonts w:ascii="Calibri Light" w:hAnsi="Calibri Light" w:cs="Arial"/>
          <w:b/>
          <w:sz w:val="44"/>
          <w:szCs w:val="44"/>
        </w:rPr>
        <w:t xml:space="preserve">Semaine du </w:t>
      </w:r>
      <w:r w:rsidR="008213B0">
        <w:rPr>
          <w:rFonts w:ascii="Calibri Light" w:hAnsi="Calibri Light" w:cs="Arial"/>
          <w:b/>
          <w:sz w:val="44"/>
          <w:szCs w:val="44"/>
        </w:rPr>
        <w:t>12</w:t>
      </w:r>
      <w:r w:rsidR="00FF1052">
        <w:rPr>
          <w:rFonts w:ascii="Calibri Light" w:hAnsi="Calibri Light" w:cs="Arial"/>
          <w:b/>
          <w:sz w:val="44"/>
          <w:szCs w:val="44"/>
        </w:rPr>
        <w:t xml:space="preserve"> </w:t>
      </w:r>
      <w:r w:rsidR="008213B0">
        <w:rPr>
          <w:rFonts w:ascii="Calibri Light" w:hAnsi="Calibri Light" w:cs="Arial"/>
          <w:b/>
          <w:sz w:val="44"/>
          <w:szCs w:val="44"/>
        </w:rPr>
        <w:t>mars</w:t>
      </w:r>
      <w:r>
        <w:rPr>
          <w:rFonts w:ascii="Calibri Light" w:hAnsi="Calibri Light" w:cs="Arial"/>
          <w:b/>
          <w:sz w:val="44"/>
          <w:szCs w:val="44"/>
        </w:rPr>
        <w:t xml:space="preserve"> 2018</w:t>
      </w:r>
      <w:r w:rsidRPr="006023AA">
        <w:rPr>
          <w:rFonts w:ascii="Calibri Light" w:hAnsi="Calibri Light" w:cs="Arial"/>
          <w:b/>
          <w:sz w:val="44"/>
          <w:szCs w:val="44"/>
        </w:rPr>
        <w:t xml:space="preserve"> </w:t>
      </w: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151611" w:rsidRDefault="00151611" w:rsidP="00F72829">
      <w:pPr>
        <w:jc w:val="both"/>
        <w:rPr>
          <w:rFonts w:ascii="Arial" w:hAnsi="Arial" w:cs="Arial"/>
          <w:b/>
          <w:sz w:val="22"/>
          <w:szCs w:val="22"/>
        </w:rPr>
      </w:pPr>
    </w:p>
    <w:p w:rsidR="003952D7" w:rsidRPr="00800AB1" w:rsidRDefault="003952D7" w:rsidP="00F72829">
      <w:pPr>
        <w:jc w:val="both"/>
        <w:rPr>
          <w:rFonts w:ascii="Arial" w:hAnsi="Arial" w:cs="Arial"/>
          <w:b/>
          <w:sz w:val="22"/>
          <w:szCs w:val="22"/>
        </w:rPr>
      </w:pPr>
    </w:p>
    <w:p w:rsidR="00F72829" w:rsidRPr="00894BE9" w:rsidRDefault="00F72829" w:rsidP="00F72829">
      <w:pPr>
        <w:jc w:val="both"/>
        <w:rPr>
          <w:rFonts w:ascii="Arial" w:hAnsi="Arial" w:cs="Arial"/>
          <w:b/>
          <w:sz w:val="36"/>
          <w:szCs w:val="36"/>
          <w:u w:val="single"/>
        </w:rPr>
      </w:pPr>
      <w:r w:rsidRPr="00E35A20">
        <w:rPr>
          <w:rFonts w:ascii="Arial" w:hAnsi="Arial" w:cs="Arial"/>
          <w:b/>
          <w:sz w:val="28"/>
          <w:szCs w:val="28"/>
        </w:rPr>
        <w:lastRenderedPageBreak/>
        <w:t xml:space="preserve">                                            </w:t>
      </w:r>
      <w:r w:rsidRPr="00894BE9">
        <w:rPr>
          <w:rFonts w:ascii="Arial" w:hAnsi="Arial" w:cs="Arial"/>
          <w:b/>
          <w:sz w:val="36"/>
          <w:szCs w:val="36"/>
          <w:u w:val="single"/>
        </w:rPr>
        <w:t xml:space="preserve">10 ans Euro </w:t>
      </w:r>
    </w:p>
    <w:p w:rsidR="00F72829" w:rsidRPr="00894BE9" w:rsidRDefault="00F72829" w:rsidP="00F72829">
      <w:pPr>
        <w:autoSpaceDE w:val="0"/>
        <w:jc w:val="both"/>
        <w:rPr>
          <w:rFonts w:ascii="Arial" w:hAnsi="Arial" w:cs="Arial"/>
          <w:b/>
          <w:sz w:val="28"/>
          <w:szCs w:val="28"/>
          <w:u w:val="single"/>
        </w:rPr>
      </w:pPr>
      <w:r w:rsidRPr="00894BE9">
        <w:rPr>
          <w:rFonts w:ascii="Arial" w:hAnsi="Arial" w:cs="Arial"/>
          <w:b/>
          <w:sz w:val="28"/>
          <w:szCs w:val="28"/>
          <w:u w:val="single"/>
        </w:rPr>
        <w:t>Daily</w:t>
      </w:r>
    </w:p>
    <w:p w:rsidR="00F72829" w:rsidRPr="00F26BC3" w:rsidRDefault="00151611" w:rsidP="00F72829">
      <w:pPr>
        <w:autoSpaceDE w:val="0"/>
        <w:ind w:left="-737"/>
        <w:jc w:val="both"/>
        <w:rPr>
          <w:rFonts w:ascii="Arial" w:hAnsi="Arial" w:cs="Arial"/>
          <w:b/>
          <w:sz w:val="28"/>
          <w:szCs w:val="28"/>
          <w:u w:val="single"/>
        </w:rPr>
      </w:pPr>
      <w:r>
        <w:rPr>
          <w:rFonts w:ascii="Arial" w:hAnsi="Arial" w:cs="Arial"/>
          <w:b/>
          <w:noProof/>
          <w:sz w:val="28"/>
          <w:szCs w:val="28"/>
          <w:u w:val="single"/>
        </w:rPr>
        <w:drawing>
          <wp:inline distT="0" distB="0" distL="0" distR="0">
            <wp:extent cx="6710516" cy="4092678"/>
            <wp:effectExtent l="0" t="0" r="0" b="3175"/>
            <wp:docPr id="1" name="Image 1" descr="C:\Temp\Bloomberg\temp\bfm67F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Temp\Bloomberg\temp\bfm67F7.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03952" cy="4088675"/>
                    </a:xfrm>
                    <a:prstGeom prst="rect">
                      <a:avLst/>
                    </a:prstGeom>
                    <a:noFill/>
                    <a:ln>
                      <a:noFill/>
                    </a:ln>
                  </pic:spPr>
                </pic:pic>
              </a:graphicData>
            </a:graphic>
          </wp:inline>
        </w:drawing>
      </w:r>
    </w:p>
    <w:p w:rsidR="00F72829" w:rsidRPr="00151611" w:rsidRDefault="00F72829" w:rsidP="00F72829">
      <w:pPr>
        <w:autoSpaceDE w:val="0"/>
        <w:jc w:val="both"/>
        <w:rPr>
          <w:rFonts w:ascii="Arial" w:hAnsi="Arial" w:cs="Arial"/>
          <w:b/>
          <w:sz w:val="28"/>
          <w:szCs w:val="28"/>
          <w:u w:val="single"/>
        </w:rPr>
      </w:pPr>
      <w:r w:rsidRPr="00151611">
        <w:rPr>
          <w:rFonts w:ascii="Arial" w:hAnsi="Arial" w:cs="Arial"/>
          <w:b/>
          <w:sz w:val="28"/>
          <w:szCs w:val="28"/>
          <w:u w:val="single"/>
        </w:rPr>
        <w:t>Weekly</w:t>
      </w:r>
    </w:p>
    <w:p w:rsidR="00F72829" w:rsidRPr="00151611" w:rsidRDefault="00151611" w:rsidP="00F72829">
      <w:pPr>
        <w:autoSpaceDE w:val="0"/>
        <w:ind w:left="-850"/>
        <w:jc w:val="both"/>
        <w:rPr>
          <w:rFonts w:ascii="Arial" w:hAnsi="Arial" w:cs="Arial"/>
          <w:b/>
          <w:sz w:val="28"/>
          <w:szCs w:val="28"/>
          <w:u w:val="single"/>
        </w:rPr>
      </w:pPr>
      <w:r>
        <w:rPr>
          <w:rFonts w:ascii="Arial" w:hAnsi="Arial" w:cs="Arial"/>
          <w:b/>
          <w:noProof/>
          <w:sz w:val="28"/>
          <w:szCs w:val="28"/>
          <w:u w:val="single"/>
        </w:rPr>
        <w:drawing>
          <wp:inline distT="0" distB="0" distL="0" distR="0">
            <wp:extent cx="6769510" cy="3982065"/>
            <wp:effectExtent l="0" t="0" r="0" b="0"/>
            <wp:docPr id="2" name="Image 2" descr="C:\Temp\Bloomberg\temp\bfmF03A.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Temp\Bloomberg\temp\bfmF03A.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62888" cy="3978170"/>
                    </a:xfrm>
                    <a:prstGeom prst="rect">
                      <a:avLst/>
                    </a:prstGeom>
                    <a:noFill/>
                    <a:ln>
                      <a:noFill/>
                    </a:ln>
                  </pic:spPr>
                </pic:pic>
              </a:graphicData>
            </a:graphic>
          </wp:inline>
        </w:drawing>
      </w:r>
    </w:p>
    <w:p w:rsidR="00F72829" w:rsidRPr="00151611" w:rsidRDefault="00F72829" w:rsidP="00BE257A">
      <w:pPr>
        <w:autoSpaceDE w:val="0"/>
        <w:spacing w:before="100" w:beforeAutospacing="1"/>
        <w:jc w:val="both"/>
        <w:rPr>
          <w:rFonts w:ascii="Arial" w:hAnsi="Arial" w:cs="Arial"/>
          <w:b/>
          <w:sz w:val="28"/>
          <w:szCs w:val="28"/>
          <w:u w:val="single"/>
        </w:rPr>
      </w:pPr>
      <w:r w:rsidRPr="00151611">
        <w:rPr>
          <w:rFonts w:ascii="Arial" w:hAnsi="Arial" w:cs="Arial"/>
          <w:b/>
          <w:sz w:val="28"/>
          <w:szCs w:val="28"/>
          <w:u w:val="single"/>
        </w:rPr>
        <w:lastRenderedPageBreak/>
        <w:t>Monthly</w:t>
      </w:r>
    </w:p>
    <w:p w:rsidR="00F72829" w:rsidRPr="00151611" w:rsidRDefault="00151611" w:rsidP="004E02D3">
      <w:pPr>
        <w:ind w:left="-850"/>
        <w:jc w:val="both"/>
        <w:rPr>
          <w:rFonts w:ascii="Arial" w:hAnsi="Arial" w:cs="Arial"/>
          <w:b/>
          <w:sz w:val="28"/>
          <w:szCs w:val="28"/>
          <w:u w:val="single"/>
        </w:rPr>
      </w:pPr>
      <w:r>
        <w:rPr>
          <w:rFonts w:ascii="Arial" w:hAnsi="Arial" w:cs="Arial"/>
          <w:b/>
          <w:noProof/>
          <w:sz w:val="28"/>
          <w:szCs w:val="28"/>
          <w:u w:val="single"/>
        </w:rPr>
        <w:drawing>
          <wp:inline distT="0" distB="0" distL="0" distR="0">
            <wp:extent cx="6607277" cy="3318388"/>
            <wp:effectExtent l="0" t="0" r="3175" b="0"/>
            <wp:docPr id="3" name="Image 3" descr="C:\Temp\Bloomberg\temp\bfmAAE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Temp\Bloomberg\temp\bfmAAE5.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00814" cy="3315142"/>
                    </a:xfrm>
                    <a:prstGeom prst="rect">
                      <a:avLst/>
                    </a:prstGeom>
                    <a:noFill/>
                    <a:ln>
                      <a:noFill/>
                    </a:ln>
                  </pic:spPr>
                </pic:pic>
              </a:graphicData>
            </a:graphic>
          </wp:inline>
        </w:drawing>
      </w:r>
    </w:p>
    <w:p w:rsidR="00F72829" w:rsidRPr="00E75757" w:rsidRDefault="00F72829" w:rsidP="00F72829">
      <w:pPr>
        <w:jc w:val="both"/>
        <w:rPr>
          <w:rFonts w:ascii="Arial" w:hAnsi="Arial" w:cs="Arial"/>
          <w:b/>
          <w:sz w:val="28"/>
          <w:szCs w:val="28"/>
          <w:u w:val="single"/>
        </w:rPr>
      </w:pPr>
    </w:p>
    <w:p w:rsidR="00330C78" w:rsidRDefault="00F72829" w:rsidP="008213B0">
      <w:pPr>
        <w:jc w:val="both"/>
        <w:rPr>
          <w:rFonts w:ascii="Tahoma" w:hAnsi="Tahoma" w:cs="Tahoma"/>
        </w:rPr>
      </w:pPr>
      <w:r w:rsidRPr="00894BE9">
        <w:rPr>
          <w:rFonts w:ascii="Arial" w:hAnsi="Arial" w:cs="Arial"/>
          <w:b/>
          <w:bCs/>
        </w:rPr>
        <w:t xml:space="preserve">D : </w:t>
      </w:r>
      <w:r w:rsidR="00E75757" w:rsidRPr="00E75757">
        <w:rPr>
          <w:rFonts w:ascii="Tahoma" w:hAnsi="Tahoma" w:cs="Tahoma"/>
        </w:rPr>
        <w:t>La correction du 10 ans Euro depuis le</w:t>
      </w:r>
      <w:r w:rsidR="00894BE9" w:rsidRPr="00894BE9">
        <w:rPr>
          <w:rFonts w:ascii="Tahoma" w:hAnsi="Tahoma" w:cs="Tahoma"/>
        </w:rPr>
        <w:t xml:space="preserve"> </w:t>
      </w:r>
      <w:r w:rsidR="00E75757">
        <w:rPr>
          <w:rFonts w:ascii="Tahoma" w:hAnsi="Tahoma" w:cs="Tahoma"/>
        </w:rPr>
        <w:t>point haut de 0.80 s’inscrit dans un environnement haussier de court terme.</w:t>
      </w:r>
      <w:r w:rsidR="00DA6C8B">
        <w:rPr>
          <w:rFonts w:ascii="Tahoma" w:hAnsi="Tahoma" w:cs="Tahoma"/>
        </w:rPr>
        <w:t xml:space="preserve"> Après un bas temporaire à 0.60, TS et KS se sont aplaties</w:t>
      </w:r>
      <w:r w:rsidR="00F26BC3">
        <w:rPr>
          <w:rFonts w:ascii="Tahoma" w:hAnsi="Tahoma" w:cs="Tahoma"/>
        </w:rPr>
        <w:t>.</w:t>
      </w:r>
      <w:r w:rsidR="00DA6C8B">
        <w:rPr>
          <w:rFonts w:ascii="Tahoma" w:hAnsi="Tahoma" w:cs="Tahoma"/>
        </w:rPr>
        <w:t xml:space="preserve"> </w:t>
      </w:r>
      <w:r w:rsidR="00F26BC3">
        <w:rPr>
          <w:rFonts w:ascii="Tahoma" w:hAnsi="Tahoma" w:cs="Tahoma"/>
        </w:rPr>
        <w:t>Elles</w:t>
      </w:r>
      <w:r w:rsidR="00DA6C8B">
        <w:rPr>
          <w:rFonts w:ascii="Tahoma" w:hAnsi="Tahoma" w:cs="Tahoma"/>
        </w:rPr>
        <w:t xml:space="preserve"> indique</w:t>
      </w:r>
      <w:r w:rsidR="00F26BC3">
        <w:rPr>
          <w:rFonts w:ascii="Tahoma" w:hAnsi="Tahoma" w:cs="Tahoma"/>
        </w:rPr>
        <w:t>nt</w:t>
      </w:r>
      <w:r w:rsidR="00DA6C8B">
        <w:rPr>
          <w:rFonts w:ascii="Tahoma" w:hAnsi="Tahoma" w:cs="Tahoma"/>
        </w:rPr>
        <w:t xml:space="preserve"> que le marché n’est plus en mouvement.</w:t>
      </w:r>
    </w:p>
    <w:p w:rsidR="00A3772E" w:rsidRDefault="00A3772E" w:rsidP="008213B0">
      <w:pPr>
        <w:jc w:val="both"/>
        <w:rPr>
          <w:rFonts w:ascii="Tahoma" w:hAnsi="Tahoma" w:cs="Tahoma"/>
        </w:rPr>
      </w:pPr>
      <w:r>
        <w:rPr>
          <w:rFonts w:ascii="Tahoma" w:hAnsi="Tahoma" w:cs="Tahoma"/>
        </w:rPr>
        <w:t xml:space="preserve">Un dépassement du plat de KS </w:t>
      </w:r>
      <w:r w:rsidR="00F26BC3">
        <w:rPr>
          <w:rFonts w:ascii="Tahoma" w:hAnsi="Tahoma" w:cs="Tahoma"/>
        </w:rPr>
        <w:t>de</w:t>
      </w:r>
      <w:r>
        <w:rPr>
          <w:rFonts w:ascii="Tahoma" w:hAnsi="Tahoma" w:cs="Tahoma"/>
        </w:rPr>
        <w:t xml:space="preserve"> 0.70 redonnera du potentiel à la hausse du marché alors que l’accentuation de la phase de neutralité passera par une pénétration du </w:t>
      </w:r>
      <w:r w:rsidR="00CA3A8D">
        <w:rPr>
          <w:rFonts w:ascii="Tahoma" w:hAnsi="Tahoma" w:cs="Tahoma"/>
        </w:rPr>
        <w:t xml:space="preserve">nuage </w:t>
      </w:r>
      <w:r w:rsidR="00F26BC3">
        <w:rPr>
          <w:rFonts w:ascii="Tahoma" w:hAnsi="Tahoma" w:cs="Tahoma"/>
        </w:rPr>
        <w:t xml:space="preserve">par le </w:t>
      </w:r>
      <w:r w:rsidR="00E376A8">
        <w:rPr>
          <w:rFonts w:ascii="Tahoma" w:hAnsi="Tahoma" w:cs="Tahoma"/>
        </w:rPr>
        <w:t>taux</w:t>
      </w:r>
      <w:r w:rsidR="00F26BC3">
        <w:rPr>
          <w:rFonts w:ascii="Tahoma" w:hAnsi="Tahoma" w:cs="Tahoma"/>
        </w:rPr>
        <w:t xml:space="preserve"> </w:t>
      </w:r>
      <w:r w:rsidR="00CA3A8D">
        <w:rPr>
          <w:rFonts w:ascii="Tahoma" w:hAnsi="Tahoma" w:cs="Tahoma"/>
        </w:rPr>
        <w:t xml:space="preserve">et un retour </w:t>
      </w:r>
      <w:r w:rsidR="00F26BC3">
        <w:rPr>
          <w:rFonts w:ascii="Tahoma" w:hAnsi="Tahoma" w:cs="Tahoma"/>
        </w:rPr>
        <w:t>dans la zone de</w:t>
      </w:r>
      <w:r w:rsidR="00CA3A8D">
        <w:rPr>
          <w:rFonts w:ascii="Tahoma" w:hAnsi="Tahoma" w:cs="Tahoma"/>
        </w:rPr>
        <w:t xml:space="preserve"> 0.60.</w:t>
      </w:r>
    </w:p>
    <w:p w:rsidR="00CA3A8D" w:rsidRPr="00894BE9" w:rsidRDefault="00CA3A8D" w:rsidP="008213B0">
      <w:pPr>
        <w:jc w:val="both"/>
        <w:rPr>
          <w:rFonts w:ascii="Tahoma" w:hAnsi="Tahoma" w:cs="Tahoma"/>
        </w:rPr>
      </w:pPr>
      <w:r>
        <w:rPr>
          <w:rFonts w:ascii="Tahoma" w:hAnsi="Tahoma" w:cs="Tahoma"/>
        </w:rPr>
        <w:t xml:space="preserve">Quoi qu’il en soit, le contexte haussier de court terme ne sera pas remis en cause tant que le marché se maintiendra </w:t>
      </w:r>
      <w:r w:rsidR="00354C96">
        <w:rPr>
          <w:rFonts w:ascii="Tahoma" w:hAnsi="Tahoma" w:cs="Tahoma"/>
        </w:rPr>
        <w:t>au-dessus</w:t>
      </w:r>
      <w:r>
        <w:rPr>
          <w:rFonts w:ascii="Tahoma" w:hAnsi="Tahoma" w:cs="Tahoma"/>
        </w:rPr>
        <w:t xml:space="preserve"> du plat de SSB de 0.54.</w:t>
      </w:r>
    </w:p>
    <w:p w:rsidR="00F72829" w:rsidRPr="00894BE9" w:rsidRDefault="00F72829" w:rsidP="00F72829">
      <w:pPr>
        <w:jc w:val="both"/>
        <w:rPr>
          <w:rFonts w:ascii="Tahoma" w:hAnsi="Tahoma" w:cs="Tahoma"/>
          <w:bCs/>
        </w:rPr>
      </w:pPr>
      <w:r w:rsidRPr="00894BE9">
        <w:rPr>
          <w:rFonts w:ascii="Tahoma" w:hAnsi="Tahoma" w:cs="Tahoma"/>
          <w:bCs/>
        </w:rPr>
        <w:t xml:space="preserve">   </w:t>
      </w:r>
    </w:p>
    <w:p w:rsidR="00101F48" w:rsidRPr="0085485A" w:rsidRDefault="00F72829" w:rsidP="008213B0">
      <w:pPr>
        <w:jc w:val="both"/>
        <w:rPr>
          <w:rFonts w:ascii="Tahoma" w:hAnsi="Tahoma" w:cs="Tahoma"/>
        </w:rPr>
      </w:pPr>
      <w:r w:rsidRPr="0085485A">
        <w:rPr>
          <w:rFonts w:ascii="Arial" w:hAnsi="Arial" w:cs="Arial"/>
          <w:b/>
          <w:bCs/>
        </w:rPr>
        <w:t xml:space="preserve">W : </w:t>
      </w:r>
      <w:r w:rsidR="00206C2A">
        <w:rPr>
          <w:rFonts w:ascii="Tahoma" w:hAnsi="Tahoma" w:cs="Tahoma"/>
        </w:rPr>
        <w:t xml:space="preserve">Environnement </w:t>
      </w:r>
      <w:r w:rsidR="003F4023">
        <w:rPr>
          <w:rFonts w:ascii="Tahoma" w:hAnsi="Tahoma" w:cs="Tahoma"/>
        </w:rPr>
        <w:t>haussier où le plat de KS de 0.54 renforce le support évoqué sur le court terme.</w:t>
      </w:r>
    </w:p>
    <w:p w:rsidR="000D21A7" w:rsidRPr="0085485A" w:rsidRDefault="000D21A7" w:rsidP="00F72829">
      <w:pPr>
        <w:jc w:val="both"/>
        <w:rPr>
          <w:rFonts w:ascii="Tahoma" w:hAnsi="Tahoma" w:cs="Tahoma"/>
        </w:rPr>
      </w:pPr>
    </w:p>
    <w:p w:rsidR="00EE7FC9" w:rsidRPr="0062397C" w:rsidRDefault="00F72829" w:rsidP="008C6E2B">
      <w:pPr>
        <w:jc w:val="both"/>
        <w:rPr>
          <w:rFonts w:ascii="Arial" w:hAnsi="Arial" w:cs="Arial"/>
        </w:rPr>
      </w:pPr>
      <w:r w:rsidRPr="0062397C">
        <w:rPr>
          <w:rFonts w:ascii="Arial" w:hAnsi="Arial" w:cs="Arial"/>
          <w:b/>
        </w:rPr>
        <w:t>M</w:t>
      </w:r>
      <w:r w:rsidR="00DC3AA6" w:rsidRPr="0062397C">
        <w:rPr>
          <w:rFonts w:ascii="Arial" w:hAnsi="Arial" w:cs="Arial"/>
          <w:b/>
        </w:rPr>
        <w:t xml:space="preserve"> : </w:t>
      </w:r>
      <w:r w:rsidR="00EE7FC9" w:rsidRPr="0062397C">
        <w:rPr>
          <w:rFonts w:ascii="Arial" w:hAnsi="Arial" w:cs="Arial"/>
        </w:rPr>
        <w:t xml:space="preserve">Le </w:t>
      </w:r>
      <w:r w:rsidR="008C6E2B" w:rsidRPr="0062397C">
        <w:rPr>
          <w:rFonts w:ascii="Arial" w:hAnsi="Arial" w:cs="Arial"/>
        </w:rPr>
        <w:t xml:space="preserve">nuage de </w:t>
      </w:r>
      <w:r w:rsidR="00EE7FC9" w:rsidRPr="0062397C">
        <w:rPr>
          <w:rFonts w:ascii="Arial" w:hAnsi="Arial" w:cs="Arial"/>
        </w:rPr>
        <w:t xml:space="preserve">long terme </w:t>
      </w:r>
      <w:r w:rsidR="008C6E2B" w:rsidRPr="0062397C">
        <w:rPr>
          <w:rFonts w:ascii="Arial" w:hAnsi="Arial" w:cs="Arial"/>
        </w:rPr>
        <w:t xml:space="preserve">a servi de résistance et </w:t>
      </w:r>
      <w:r w:rsidR="00FD367A">
        <w:rPr>
          <w:rFonts w:ascii="Arial" w:hAnsi="Arial" w:cs="Arial"/>
        </w:rPr>
        <w:t xml:space="preserve">a </w:t>
      </w:r>
      <w:r w:rsidR="008C6E2B" w:rsidRPr="0062397C">
        <w:rPr>
          <w:rFonts w:ascii="Arial" w:hAnsi="Arial" w:cs="Arial"/>
        </w:rPr>
        <w:t xml:space="preserve">limité la hausse sur 0.80 en </w:t>
      </w:r>
      <w:r w:rsidR="00FE30E6" w:rsidRPr="0062397C">
        <w:rPr>
          <w:rFonts w:ascii="Arial" w:hAnsi="Arial" w:cs="Arial"/>
        </w:rPr>
        <w:t>février</w:t>
      </w:r>
      <w:r w:rsidR="008C6E2B" w:rsidRPr="0062397C">
        <w:rPr>
          <w:rFonts w:ascii="Arial" w:hAnsi="Arial" w:cs="Arial"/>
        </w:rPr>
        <w:t xml:space="preserve">. </w:t>
      </w:r>
      <w:r w:rsidR="00FE30E6" w:rsidRPr="0062397C">
        <w:rPr>
          <w:rFonts w:ascii="Arial" w:hAnsi="Arial" w:cs="Arial"/>
        </w:rPr>
        <w:t xml:space="preserve">Pour mars, la résistance matérialisée par la SSA se situera sur 0.79 niveau équivalent au haut récent. </w:t>
      </w:r>
      <w:r w:rsidR="00FD367A">
        <w:rPr>
          <w:rFonts w:ascii="Arial" w:hAnsi="Arial" w:cs="Arial"/>
        </w:rPr>
        <w:t>P</w:t>
      </w:r>
      <w:r w:rsidR="00FD367A" w:rsidRPr="0062397C">
        <w:rPr>
          <w:rFonts w:ascii="Arial" w:hAnsi="Arial" w:cs="Arial"/>
        </w:rPr>
        <w:t xml:space="preserve">our envisager </w:t>
      </w:r>
      <w:r w:rsidR="00FD367A">
        <w:rPr>
          <w:rFonts w:ascii="Arial" w:hAnsi="Arial" w:cs="Arial"/>
        </w:rPr>
        <w:t>un</w:t>
      </w:r>
      <w:r w:rsidR="00FD367A" w:rsidRPr="0062397C">
        <w:rPr>
          <w:rFonts w:ascii="Arial" w:hAnsi="Arial" w:cs="Arial"/>
        </w:rPr>
        <w:t xml:space="preserve"> nouveau test de 0.80</w:t>
      </w:r>
      <w:r w:rsidR="00FD367A">
        <w:rPr>
          <w:rFonts w:ascii="Arial" w:hAnsi="Arial" w:cs="Arial"/>
        </w:rPr>
        <w:t>, u</w:t>
      </w:r>
      <w:r w:rsidR="00FE30E6" w:rsidRPr="0062397C">
        <w:rPr>
          <w:rFonts w:ascii="Arial" w:hAnsi="Arial" w:cs="Arial"/>
        </w:rPr>
        <w:t>n d</w:t>
      </w:r>
      <w:r w:rsidR="00FD367A">
        <w:rPr>
          <w:rFonts w:ascii="Arial" w:hAnsi="Arial" w:cs="Arial"/>
        </w:rPr>
        <w:t>épassement de 0.69 (TS de la LS)</w:t>
      </w:r>
      <w:r w:rsidR="00FE30E6" w:rsidRPr="0062397C">
        <w:rPr>
          <w:rFonts w:ascii="Arial" w:hAnsi="Arial" w:cs="Arial"/>
        </w:rPr>
        <w:t xml:space="preserve"> sera </w:t>
      </w:r>
      <w:r w:rsidR="00354C96" w:rsidRPr="0062397C">
        <w:rPr>
          <w:rFonts w:ascii="Arial" w:hAnsi="Arial" w:cs="Arial"/>
        </w:rPr>
        <w:t>nécessaire</w:t>
      </w:r>
      <w:r w:rsidR="00FE30E6" w:rsidRPr="0062397C">
        <w:rPr>
          <w:rFonts w:ascii="Arial" w:hAnsi="Arial" w:cs="Arial"/>
        </w:rPr>
        <w:t>.</w:t>
      </w:r>
    </w:p>
    <w:p w:rsidR="00FE30E6" w:rsidRPr="0062397C" w:rsidRDefault="00FD367A" w:rsidP="008C6E2B">
      <w:pPr>
        <w:jc w:val="both"/>
        <w:rPr>
          <w:rFonts w:ascii="Arial" w:hAnsi="Arial" w:cs="Arial"/>
        </w:rPr>
      </w:pPr>
      <w:r>
        <w:rPr>
          <w:rFonts w:ascii="Arial" w:hAnsi="Arial" w:cs="Arial"/>
        </w:rPr>
        <w:t xml:space="preserve">La TS mensuelle du taux </w:t>
      </w:r>
      <w:r w:rsidR="00FE30E6" w:rsidRPr="0062397C">
        <w:rPr>
          <w:rFonts w:ascii="Arial" w:hAnsi="Arial" w:cs="Arial"/>
        </w:rPr>
        <w:t>sur 0.54 apporte un nouvel appui au support évoqué précédemment.</w:t>
      </w:r>
    </w:p>
    <w:p w:rsidR="00F72829" w:rsidRPr="00670CF7" w:rsidRDefault="00F72829" w:rsidP="00F72829">
      <w:pPr>
        <w:jc w:val="both"/>
        <w:rPr>
          <w:rFonts w:ascii="Arial" w:hAnsi="Arial" w:cs="Arial"/>
          <w:b/>
          <w:color w:val="FF0000"/>
        </w:rPr>
      </w:pPr>
    </w:p>
    <w:p w:rsidR="0031071E" w:rsidRPr="003F6F10" w:rsidRDefault="00F72829" w:rsidP="0062397C">
      <w:pPr>
        <w:jc w:val="both"/>
        <w:rPr>
          <w:rFonts w:ascii="Arial" w:hAnsi="Arial" w:cs="Arial"/>
          <w:b/>
          <w:color w:val="00B050"/>
        </w:rPr>
      </w:pPr>
      <w:r w:rsidRPr="003F6F10">
        <w:rPr>
          <w:rFonts w:ascii="Arial" w:hAnsi="Arial" w:cs="Arial"/>
          <w:b/>
          <w:color w:val="00B050"/>
          <w:u w:val="single"/>
        </w:rPr>
        <w:t>HEBDOMADAIRE</w:t>
      </w:r>
      <w:r w:rsidRPr="003F6F10">
        <w:rPr>
          <w:rFonts w:ascii="Arial" w:hAnsi="Arial" w:cs="Arial"/>
          <w:b/>
          <w:color w:val="00B050"/>
        </w:rPr>
        <w:t xml:space="preserve"> : </w:t>
      </w:r>
      <w:r w:rsidR="0062397C" w:rsidRPr="003F6F10">
        <w:rPr>
          <w:rFonts w:ascii="Arial" w:hAnsi="Arial" w:cs="Arial"/>
          <w:b/>
          <w:color w:val="00B050"/>
        </w:rPr>
        <w:t>Une remise en question de la hausse de court terme passera dans un premier temps par un retour du 10 ans sous 0.54. Ce support</w:t>
      </w:r>
      <w:r w:rsidR="00F26BC3">
        <w:rPr>
          <w:rFonts w:ascii="Arial" w:hAnsi="Arial" w:cs="Arial"/>
          <w:b/>
          <w:color w:val="00B050"/>
        </w:rPr>
        <w:t xml:space="preserve"> Daily</w:t>
      </w:r>
      <w:r w:rsidR="0062397C" w:rsidRPr="003F6F10">
        <w:rPr>
          <w:rFonts w:ascii="Arial" w:hAnsi="Arial" w:cs="Arial"/>
          <w:b/>
          <w:color w:val="00B050"/>
        </w:rPr>
        <w:t xml:space="preserve"> est renforcé par les deux unités de temps supérieures.</w:t>
      </w:r>
    </w:p>
    <w:p w:rsidR="0062397C" w:rsidRPr="003F6F10" w:rsidRDefault="0062397C" w:rsidP="0062397C">
      <w:pPr>
        <w:jc w:val="both"/>
        <w:rPr>
          <w:rFonts w:ascii="Arial" w:hAnsi="Arial" w:cs="Arial"/>
          <w:b/>
          <w:color w:val="00B050"/>
        </w:rPr>
      </w:pPr>
      <w:r w:rsidRPr="003F6F10">
        <w:rPr>
          <w:rFonts w:ascii="Arial" w:hAnsi="Arial" w:cs="Arial"/>
          <w:b/>
          <w:color w:val="00B050"/>
        </w:rPr>
        <w:t xml:space="preserve">Même si la hausse n’est pas remise en question, la dynamique de mouvement n’est plus là. Un dépassement de 0.70 sera </w:t>
      </w:r>
      <w:r w:rsidR="00354C96" w:rsidRPr="003F6F10">
        <w:rPr>
          <w:rFonts w:ascii="Arial" w:hAnsi="Arial" w:cs="Arial"/>
          <w:b/>
          <w:color w:val="00B050"/>
        </w:rPr>
        <w:t>nécessaire</w:t>
      </w:r>
      <w:r w:rsidRPr="003F6F10">
        <w:rPr>
          <w:rFonts w:ascii="Arial" w:hAnsi="Arial" w:cs="Arial"/>
          <w:b/>
          <w:color w:val="00B050"/>
        </w:rPr>
        <w:t xml:space="preserve"> pour envisager un retour sur 0.80, voir un dépassement.</w:t>
      </w:r>
    </w:p>
    <w:p w:rsidR="0062397C" w:rsidRPr="00E73BC8" w:rsidRDefault="0062397C" w:rsidP="003952D7">
      <w:pPr>
        <w:jc w:val="both"/>
        <w:rPr>
          <w:rFonts w:ascii="Arial" w:hAnsi="Arial" w:cs="Arial"/>
          <w:b/>
          <w:color w:val="FF0000"/>
          <w:sz w:val="28"/>
          <w:szCs w:val="28"/>
        </w:rPr>
      </w:pPr>
      <w:r w:rsidRPr="003F6F10">
        <w:rPr>
          <w:rFonts w:ascii="Arial" w:hAnsi="Arial" w:cs="Arial"/>
          <w:b/>
          <w:color w:val="00B050"/>
        </w:rPr>
        <w:t xml:space="preserve">Une accentuation de la neutralité passera par une entrée du </w:t>
      </w:r>
      <w:r w:rsidR="00FD367A">
        <w:rPr>
          <w:rFonts w:ascii="Arial" w:hAnsi="Arial" w:cs="Arial"/>
          <w:b/>
          <w:color w:val="00B050"/>
        </w:rPr>
        <w:t>taux</w:t>
      </w:r>
      <w:r w:rsidRPr="003F6F10">
        <w:rPr>
          <w:rFonts w:ascii="Arial" w:hAnsi="Arial" w:cs="Arial"/>
          <w:b/>
          <w:color w:val="00B050"/>
        </w:rPr>
        <w:t xml:space="preserve"> dans son nuage</w:t>
      </w:r>
      <w:r w:rsidR="00FD367A">
        <w:rPr>
          <w:rFonts w:ascii="Arial" w:hAnsi="Arial" w:cs="Arial"/>
          <w:b/>
          <w:color w:val="00B050"/>
        </w:rPr>
        <w:t xml:space="preserve"> et sera</w:t>
      </w:r>
      <w:r w:rsidRPr="003F6F10">
        <w:rPr>
          <w:rFonts w:ascii="Arial" w:hAnsi="Arial" w:cs="Arial"/>
          <w:b/>
          <w:color w:val="00B050"/>
        </w:rPr>
        <w:t xml:space="preserve"> matérialisé</w:t>
      </w:r>
      <w:r w:rsidR="00FD367A">
        <w:rPr>
          <w:rFonts w:ascii="Arial" w:hAnsi="Arial" w:cs="Arial"/>
          <w:b/>
          <w:color w:val="00B050"/>
        </w:rPr>
        <w:t>e</w:t>
      </w:r>
      <w:r w:rsidRPr="003F6F10">
        <w:rPr>
          <w:rFonts w:ascii="Arial" w:hAnsi="Arial" w:cs="Arial"/>
          <w:b/>
          <w:color w:val="00B050"/>
        </w:rPr>
        <w:t xml:space="preserve"> par une baisse</w:t>
      </w:r>
      <w:r w:rsidR="00FD367A">
        <w:rPr>
          <w:rFonts w:ascii="Arial" w:hAnsi="Arial" w:cs="Arial"/>
          <w:b/>
          <w:color w:val="00B050"/>
        </w:rPr>
        <w:t xml:space="preserve"> du marché</w:t>
      </w:r>
      <w:r w:rsidRPr="003F6F10">
        <w:rPr>
          <w:rFonts w:ascii="Arial" w:hAnsi="Arial" w:cs="Arial"/>
          <w:b/>
          <w:color w:val="00B050"/>
        </w:rPr>
        <w:t xml:space="preserve"> </w:t>
      </w:r>
      <w:r w:rsidR="00F26BC3">
        <w:rPr>
          <w:rFonts w:ascii="Arial" w:hAnsi="Arial" w:cs="Arial"/>
          <w:b/>
          <w:color w:val="00B050"/>
        </w:rPr>
        <w:t>dans la zone</w:t>
      </w:r>
      <w:r w:rsidRPr="003F6F10">
        <w:rPr>
          <w:rFonts w:ascii="Arial" w:hAnsi="Arial" w:cs="Arial"/>
          <w:b/>
          <w:color w:val="00B050"/>
        </w:rPr>
        <w:t xml:space="preserve"> de 0.60. </w:t>
      </w:r>
    </w:p>
    <w:p w:rsidR="00E60B59" w:rsidRPr="00E60B59" w:rsidRDefault="003E1B3F" w:rsidP="003952D7">
      <w:pPr>
        <w:jc w:val="both"/>
        <w:rPr>
          <w:rFonts w:ascii="Arial" w:hAnsi="Arial" w:cs="Arial"/>
          <w:b/>
          <w:bCs/>
          <w:sz w:val="36"/>
          <w:szCs w:val="36"/>
          <w:u w:val="single"/>
          <w:lang w:val="en-US"/>
        </w:rPr>
      </w:pPr>
      <w:r>
        <w:rPr>
          <w:rFonts w:ascii="Arial" w:hAnsi="Arial" w:cs="Arial"/>
          <w:b/>
          <w:color w:val="FF0000"/>
        </w:rPr>
        <w:lastRenderedPageBreak/>
        <w:t xml:space="preserve">                                          </w:t>
      </w:r>
      <w:r w:rsidRPr="003E1B3F">
        <w:rPr>
          <w:rFonts w:ascii="Arial" w:hAnsi="Arial" w:cs="Arial"/>
          <w:b/>
          <w:bCs/>
          <w:sz w:val="36"/>
          <w:szCs w:val="36"/>
          <w:u w:val="single"/>
          <w:lang w:val="en-US"/>
        </w:rPr>
        <w:t>BUND</w:t>
      </w:r>
      <w:r w:rsidR="00E60B59">
        <w:rPr>
          <w:rFonts w:ascii="Arial" w:hAnsi="Arial" w:cs="Arial"/>
          <w:b/>
          <w:bCs/>
          <w:sz w:val="36"/>
          <w:szCs w:val="36"/>
          <w:u w:val="single"/>
          <w:lang w:val="en-US"/>
        </w:rPr>
        <w:t xml:space="preserve">   (week)</w:t>
      </w:r>
    </w:p>
    <w:p w:rsidR="003E1B3F" w:rsidRDefault="003E1B3F" w:rsidP="003952D7">
      <w:pPr>
        <w:jc w:val="both"/>
        <w:rPr>
          <w:rFonts w:ascii="Arial" w:hAnsi="Arial" w:cs="Arial"/>
          <w:b/>
          <w:color w:val="FF0000"/>
        </w:rPr>
      </w:pPr>
    </w:p>
    <w:p w:rsidR="003E1B3F" w:rsidRDefault="003E1B3F" w:rsidP="003952D7">
      <w:pPr>
        <w:jc w:val="both"/>
        <w:rPr>
          <w:rFonts w:ascii="Arial" w:hAnsi="Arial" w:cs="Arial"/>
          <w:b/>
          <w:color w:val="FF0000"/>
        </w:rPr>
      </w:pPr>
      <w:r>
        <w:rPr>
          <w:noProof/>
        </w:rPr>
        <w:drawing>
          <wp:inline distT="0" distB="0" distL="0" distR="0" wp14:anchorId="32A3D366" wp14:editId="745E55CF">
            <wp:extent cx="5731510" cy="4782820"/>
            <wp:effectExtent l="0" t="0" r="2540"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782820"/>
                    </a:xfrm>
                    <a:prstGeom prst="rect">
                      <a:avLst/>
                    </a:prstGeom>
                  </pic:spPr>
                </pic:pic>
              </a:graphicData>
            </a:graphic>
          </wp:inline>
        </w:drawing>
      </w:r>
    </w:p>
    <w:p w:rsidR="003E1B3F" w:rsidRDefault="003E1B3F" w:rsidP="003952D7">
      <w:pPr>
        <w:jc w:val="both"/>
        <w:rPr>
          <w:rFonts w:ascii="Arial" w:hAnsi="Arial" w:cs="Arial"/>
          <w:b/>
          <w:color w:val="FF0000"/>
        </w:rPr>
      </w:pPr>
    </w:p>
    <w:p w:rsidR="003E1B3F" w:rsidRDefault="003E1B3F" w:rsidP="003952D7">
      <w:pPr>
        <w:jc w:val="both"/>
        <w:rPr>
          <w:rFonts w:ascii="Arial" w:hAnsi="Arial" w:cs="Arial"/>
          <w:b/>
          <w:color w:val="FF0000"/>
        </w:rPr>
      </w:pPr>
    </w:p>
    <w:p w:rsidR="003E1B3F" w:rsidRDefault="003E1B3F" w:rsidP="003952D7">
      <w:pPr>
        <w:jc w:val="both"/>
        <w:rPr>
          <w:rFonts w:ascii="Arial" w:hAnsi="Arial" w:cs="Arial"/>
          <w:b/>
          <w:color w:val="FF0000"/>
        </w:rPr>
      </w:pPr>
    </w:p>
    <w:p w:rsidR="003E1B3F" w:rsidRDefault="003E1B3F" w:rsidP="003952D7">
      <w:pPr>
        <w:jc w:val="both"/>
        <w:rPr>
          <w:rFonts w:ascii="Tahoma" w:hAnsi="Tahoma" w:cs="Tahoma"/>
        </w:rPr>
      </w:pPr>
      <w:r w:rsidRPr="003E1B3F">
        <w:rPr>
          <w:rFonts w:ascii="Tahoma" w:hAnsi="Tahoma" w:cs="Tahoma"/>
        </w:rPr>
        <w:t xml:space="preserve">- </w:t>
      </w:r>
      <w:r>
        <w:rPr>
          <w:rFonts w:ascii="Tahoma" w:hAnsi="Tahoma" w:cs="Tahoma"/>
        </w:rPr>
        <w:t>Les deux dernières chandelles sont des chandeliers de haute vague.</w:t>
      </w:r>
    </w:p>
    <w:p w:rsidR="003E1B3F" w:rsidRDefault="003E1B3F" w:rsidP="003952D7">
      <w:pPr>
        <w:jc w:val="both"/>
        <w:rPr>
          <w:rFonts w:ascii="Tahoma" w:hAnsi="Tahoma" w:cs="Tahoma"/>
        </w:rPr>
      </w:pPr>
    </w:p>
    <w:p w:rsidR="003E1B3F" w:rsidRDefault="003E1B3F" w:rsidP="003952D7">
      <w:pPr>
        <w:jc w:val="both"/>
        <w:rPr>
          <w:rFonts w:ascii="Tahoma" w:hAnsi="Tahoma" w:cs="Tahoma"/>
        </w:rPr>
      </w:pPr>
      <w:r>
        <w:rPr>
          <w:rFonts w:ascii="Tahoma" w:hAnsi="Tahoma" w:cs="Tahoma"/>
        </w:rPr>
        <w:t xml:space="preserve">- Cette structure se classe dans les figures d’indécision et traduit </w:t>
      </w:r>
      <w:r w:rsidR="002A63D2">
        <w:rPr>
          <w:rFonts w:ascii="Tahoma" w:hAnsi="Tahoma" w:cs="Tahoma"/>
        </w:rPr>
        <w:t>généralement</w:t>
      </w:r>
      <w:r>
        <w:rPr>
          <w:rFonts w:ascii="Tahoma" w:hAnsi="Tahoma" w:cs="Tahoma"/>
        </w:rPr>
        <w:t xml:space="preserve"> une perte de direction du marché.</w:t>
      </w:r>
    </w:p>
    <w:p w:rsidR="003E1B3F" w:rsidRDefault="003E1B3F" w:rsidP="003952D7">
      <w:pPr>
        <w:jc w:val="both"/>
        <w:rPr>
          <w:rFonts w:ascii="Tahoma" w:hAnsi="Tahoma" w:cs="Tahoma"/>
        </w:rPr>
      </w:pPr>
    </w:p>
    <w:p w:rsidR="003E1B3F" w:rsidRDefault="003E1B3F" w:rsidP="003952D7">
      <w:pPr>
        <w:jc w:val="both"/>
        <w:rPr>
          <w:rFonts w:ascii="Tahoma" w:hAnsi="Tahoma" w:cs="Tahoma"/>
        </w:rPr>
      </w:pPr>
      <w:r>
        <w:rPr>
          <w:rFonts w:ascii="Tahoma" w:hAnsi="Tahoma" w:cs="Tahoma"/>
        </w:rPr>
        <w:t>-  Cette haute vague peut être le signe d’un futur retournement des prix.</w:t>
      </w:r>
    </w:p>
    <w:p w:rsidR="003E1B3F" w:rsidRDefault="003E1B3F" w:rsidP="003952D7">
      <w:pPr>
        <w:jc w:val="both"/>
        <w:rPr>
          <w:rFonts w:ascii="Tahoma" w:hAnsi="Tahoma" w:cs="Tahoma"/>
        </w:rPr>
      </w:pPr>
    </w:p>
    <w:p w:rsidR="003E1B3F" w:rsidRDefault="003E1B3F" w:rsidP="003952D7">
      <w:pPr>
        <w:jc w:val="both"/>
        <w:rPr>
          <w:rFonts w:ascii="Tahoma" w:hAnsi="Tahoma" w:cs="Tahoma"/>
        </w:rPr>
      </w:pPr>
      <w:r>
        <w:rPr>
          <w:rFonts w:ascii="Tahoma" w:hAnsi="Tahoma" w:cs="Tahoma"/>
        </w:rPr>
        <w:t xml:space="preserve">- La neutralité dominera tant que les prix se maintiendront au sein du nuage. </w:t>
      </w:r>
    </w:p>
    <w:p w:rsidR="003E1B3F" w:rsidRDefault="003E1B3F" w:rsidP="003952D7">
      <w:pPr>
        <w:jc w:val="both"/>
        <w:rPr>
          <w:rFonts w:ascii="Tahoma" w:hAnsi="Tahoma" w:cs="Tahoma"/>
        </w:rPr>
      </w:pPr>
    </w:p>
    <w:p w:rsidR="003E1B3F" w:rsidRDefault="003E1B3F" w:rsidP="003952D7">
      <w:pPr>
        <w:jc w:val="both"/>
        <w:rPr>
          <w:rFonts w:ascii="Tahoma" w:hAnsi="Tahoma" w:cs="Tahoma"/>
        </w:rPr>
      </w:pPr>
      <w:r>
        <w:rPr>
          <w:rFonts w:ascii="Tahoma" w:hAnsi="Tahoma" w:cs="Tahoma"/>
        </w:rPr>
        <w:t xml:space="preserve">- Les bornes </w:t>
      </w:r>
      <w:r w:rsidR="00FD367A">
        <w:rPr>
          <w:rFonts w:ascii="Tahoma" w:hAnsi="Tahoma" w:cs="Tahoma"/>
        </w:rPr>
        <w:t xml:space="preserve">du nuage </w:t>
      </w:r>
      <w:r>
        <w:rPr>
          <w:rFonts w:ascii="Tahoma" w:hAnsi="Tahoma" w:cs="Tahoma"/>
        </w:rPr>
        <w:t>à prendre en compte au cours de la semaine seront le plat de SSB en support sur 156.70 et le plat de KS en résistance sur 157.86.</w:t>
      </w:r>
    </w:p>
    <w:p w:rsidR="003E1B3F" w:rsidRDefault="003E1B3F" w:rsidP="003952D7">
      <w:pPr>
        <w:jc w:val="both"/>
        <w:rPr>
          <w:rFonts w:ascii="Tahoma" w:hAnsi="Tahoma" w:cs="Tahoma"/>
        </w:rPr>
      </w:pPr>
    </w:p>
    <w:p w:rsidR="003E1B3F" w:rsidRDefault="003E1B3F" w:rsidP="003952D7">
      <w:pPr>
        <w:jc w:val="both"/>
        <w:rPr>
          <w:rFonts w:ascii="Tahoma" w:hAnsi="Tahoma" w:cs="Tahoma"/>
        </w:rPr>
      </w:pPr>
      <w:r>
        <w:rPr>
          <w:rFonts w:ascii="Tahoma" w:hAnsi="Tahoma" w:cs="Tahoma"/>
        </w:rPr>
        <w:t xml:space="preserve">- Une </w:t>
      </w:r>
      <w:r w:rsidR="00FD367A">
        <w:rPr>
          <w:rFonts w:ascii="Tahoma" w:hAnsi="Tahoma" w:cs="Tahoma"/>
        </w:rPr>
        <w:t>sortie</w:t>
      </w:r>
      <w:r>
        <w:rPr>
          <w:rFonts w:ascii="Tahoma" w:hAnsi="Tahoma" w:cs="Tahoma"/>
        </w:rPr>
        <w:t xml:space="preserve"> devra être validée par une </w:t>
      </w:r>
      <w:r w:rsidR="002A63D2">
        <w:rPr>
          <w:rFonts w:ascii="Tahoma" w:hAnsi="Tahoma" w:cs="Tahoma"/>
        </w:rPr>
        <w:t>clôture</w:t>
      </w:r>
      <w:r>
        <w:rPr>
          <w:rFonts w:ascii="Tahoma" w:hAnsi="Tahoma" w:cs="Tahoma"/>
        </w:rPr>
        <w:t xml:space="preserve"> hebdomadaire.</w:t>
      </w:r>
    </w:p>
    <w:p w:rsidR="00E60B59" w:rsidRDefault="00E60B59" w:rsidP="003952D7">
      <w:pPr>
        <w:jc w:val="both"/>
        <w:rPr>
          <w:rFonts w:ascii="Tahoma" w:hAnsi="Tahoma" w:cs="Tahoma"/>
        </w:rPr>
      </w:pPr>
    </w:p>
    <w:p w:rsidR="00FD367A" w:rsidRDefault="00FD367A" w:rsidP="003952D7">
      <w:pPr>
        <w:jc w:val="both"/>
        <w:rPr>
          <w:rFonts w:ascii="Tahoma" w:hAnsi="Tahoma" w:cs="Tahoma"/>
        </w:rPr>
      </w:pPr>
    </w:p>
    <w:p w:rsidR="00E60B59" w:rsidRDefault="00E60B59" w:rsidP="003952D7">
      <w:pPr>
        <w:jc w:val="both"/>
        <w:rPr>
          <w:rFonts w:ascii="Tahoma" w:hAnsi="Tahoma" w:cs="Tahoma"/>
        </w:rPr>
      </w:pPr>
    </w:p>
    <w:p w:rsidR="00E60B59" w:rsidRDefault="00B35DBD" w:rsidP="003952D7">
      <w:pPr>
        <w:jc w:val="both"/>
        <w:rPr>
          <w:rFonts w:ascii="Arial" w:hAnsi="Arial" w:cs="Arial"/>
          <w:b/>
          <w:bCs/>
          <w:sz w:val="36"/>
          <w:szCs w:val="36"/>
          <w:u w:val="single"/>
          <w:lang w:val="en-US"/>
        </w:rPr>
      </w:pPr>
      <w:r>
        <w:rPr>
          <w:rFonts w:ascii="Tahoma" w:hAnsi="Tahoma" w:cs="Tahoma"/>
        </w:rPr>
        <w:lastRenderedPageBreak/>
        <w:t xml:space="preserve">                                           </w:t>
      </w:r>
      <w:r w:rsidRPr="003E1B3F">
        <w:rPr>
          <w:rFonts w:ascii="Arial" w:hAnsi="Arial" w:cs="Arial"/>
          <w:b/>
          <w:bCs/>
          <w:sz w:val="36"/>
          <w:szCs w:val="36"/>
          <w:u w:val="single"/>
          <w:lang w:val="en-US"/>
        </w:rPr>
        <w:t>BUND</w:t>
      </w:r>
      <w:r>
        <w:rPr>
          <w:rFonts w:ascii="Arial" w:hAnsi="Arial" w:cs="Arial"/>
          <w:b/>
          <w:bCs/>
          <w:sz w:val="36"/>
          <w:szCs w:val="36"/>
          <w:u w:val="single"/>
          <w:lang w:val="en-US"/>
        </w:rPr>
        <w:t xml:space="preserve">   (day)</w:t>
      </w:r>
    </w:p>
    <w:p w:rsidR="00B35DBD" w:rsidRDefault="00B35DBD" w:rsidP="003952D7">
      <w:pPr>
        <w:jc w:val="both"/>
        <w:rPr>
          <w:rFonts w:ascii="Arial" w:hAnsi="Arial" w:cs="Arial"/>
          <w:b/>
          <w:bCs/>
          <w:sz w:val="36"/>
          <w:szCs w:val="36"/>
          <w:u w:val="single"/>
          <w:lang w:val="en-US"/>
        </w:rPr>
      </w:pPr>
    </w:p>
    <w:p w:rsidR="00B35DBD" w:rsidRPr="003E1B3F" w:rsidRDefault="00B35DBD" w:rsidP="003952D7">
      <w:pPr>
        <w:jc w:val="both"/>
        <w:rPr>
          <w:rFonts w:ascii="Tahoma" w:hAnsi="Tahoma" w:cs="Tahoma"/>
        </w:rPr>
      </w:pPr>
    </w:p>
    <w:p w:rsidR="003E1B3F" w:rsidRDefault="003E1B3F" w:rsidP="003952D7">
      <w:pPr>
        <w:jc w:val="both"/>
        <w:rPr>
          <w:rFonts w:ascii="Arial" w:hAnsi="Arial" w:cs="Arial"/>
          <w:b/>
          <w:color w:val="FF0000"/>
        </w:rPr>
      </w:pPr>
      <w:r>
        <w:rPr>
          <w:noProof/>
        </w:rPr>
        <w:drawing>
          <wp:inline distT="0" distB="0" distL="0" distR="0" wp14:anchorId="42BF1239" wp14:editId="299E548F">
            <wp:extent cx="5731510" cy="4782820"/>
            <wp:effectExtent l="0" t="0" r="2540" b="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782820"/>
                    </a:xfrm>
                    <a:prstGeom prst="rect">
                      <a:avLst/>
                    </a:prstGeom>
                  </pic:spPr>
                </pic:pic>
              </a:graphicData>
            </a:graphic>
          </wp:inline>
        </w:drawing>
      </w:r>
    </w:p>
    <w:p w:rsidR="00B35DBD" w:rsidRDefault="00B35DBD" w:rsidP="003952D7">
      <w:pPr>
        <w:jc w:val="both"/>
        <w:rPr>
          <w:rFonts w:ascii="Arial" w:hAnsi="Arial" w:cs="Arial"/>
          <w:b/>
          <w:color w:val="FF0000"/>
        </w:rPr>
      </w:pPr>
    </w:p>
    <w:p w:rsidR="00B35DBD" w:rsidRDefault="00B35DBD" w:rsidP="003952D7">
      <w:pPr>
        <w:jc w:val="both"/>
        <w:rPr>
          <w:rFonts w:ascii="Arial" w:hAnsi="Arial" w:cs="Arial"/>
          <w:b/>
          <w:color w:val="FF0000"/>
        </w:rPr>
      </w:pPr>
    </w:p>
    <w:p w:rsidR="00100473" w:rsidRDefault="00100473" w:rsidP="00100473">
      <w:pPr>
        <w:jc w:val="both"/>
        <w:rPr>
          <w:rFonts w:ascii="Tahoma" w:hAnsi="Tahoma" w:cs="Tahoma"/>
        </w:rPr>
      </w:pPr>
      <w:r>
        <w:rPr>
          <w:rFonts w:ascii="Tahoma" w:hAnsi="Tahoma" w:cs="Tahoma"/>
        </w:rPr>
        <w:t xml:space="preserve">- La chandelle blanche post meeting BCE place le contrat dans un environnement positif </w:t>
      </w:r>
      <w:r w:rsidR="00FD367A">
        <w:rPr>
          <w:rFonts w:ascii="Tahoma" w:hAnsi="Tahoma" w:cs="Tahoma"/>
        </w:rPr>
        <w:t>où</w:t>
      </w:r>
      <w:r>
        <w:rPr>
          <w:rFonts w:ascii="Tahoma" w:hAnsi="Tahoma" w:cs="Tahoma"/>
        </w:rPr>
        <w:t xml:space="preserve"> le nuage sert de zone de résistance.</w:t>
      </w:r>
    </w:p>
    <w:p w:rsidR="00B35DBD" w:rsidRDefault="00B35DBD" w:rsidP="00B35DBD">
      <w:pPr>
        <w:jc w:val="both"/>
        <w:rPr>
          <w:rFonts w:ascii="Tahoma" w:hAnsi="Tahoma" w:cs="Tahoma"/>
        </w:rPr>
      </w:pPr>
    </w:p>
    <w:p w:rsidR="00B35DBD" w:rsidRDefault="00B35DBD" w:rsidP="00B35DBD">
      <w:pPr>
        <w:jc w:val="both"/>
        <w:rPr>
          <w:rFonts w:ascii="Tahoma" w:hAnsi="Tahoma" w:cs="Tahoma"/>
        </w:rPr>
      </w:pPr>
      <w:r>
        <w:rPr>
          <w:rFonts w:ascii="Tahoma" w:hAnsi="Tahoma" w:cs="Tahoma"/>
        </w:rPr>
        <w:t xml:space="preserve">- Une invalidation </w:t>
      </w:r>
      <w:r w:rsidR="00100473">
        <w:rPr>
          <w:rFonts w:ascii="Tahoma" w:hAnsi="Tahoma" w:cs="Tahoma"/>
        </w:rPr>
        <w:t xml:space="preserve">de </w:t>
      </w:r>
      <w:r w:rsidR="00FD367A">
        <w:rPr>
          <w:rFonts w:ascii="Tahoma" w:hAnsi="Tahoma" w:cs="Tahoma"/>
        </w:rPr>
        <w:t>cette zone de</w:t>
      </w:r>
      <w:r w:rsidR="00100473">
        <w:rPr>
          <w:rFonts w:ascii="Tahoma" w:hAnsi="Tahoma" w:cs="Tahoma"/>
        </w:rPr>
        <w:t xml:space="preserve"> résistance </w:t>
      </w:r>
      <w:r>
        <w:rPr>
          <w:rFonts w:ascii="Tahoma" w:hAnsi="Tahoma" w:cs="Tahoma"/>
        </w:rPr>
        <w:t xml:space="preserve">passera par un dépassement et un maintien des prix </w:t>
      </w:r>
      <w:r w:rsidR="002A63D2">
        <w:rPr>
          <w:rFonts w:ascii="Tahoma" w:hAnsi="Tahoma" w:cs="Tahoma"/>
        </w:rPr>
        <w:t>au-dessus</w:t>
      </w:r>
      <w:r>
        <w:rPr>
          <w:rFonts w:ascii="Tahoma" w:hAnsi="Tahoma" w:cs="Tahoma"/>
        </w:rPr>
        <w:t xml:space="preserve"> du plat de SSB de 157.80.</w:t>
      </w:r>
    </w:p>
    <w:p w:rsidR="00100473" w:rsidRDefault="00100473" w:rsidP="00B35DBD">
      <w:pPr>
        <w:jc w:val="both"/>
        <w:rPr>
          <w:rFonts w:ascii="Tahoma" w:hAnsi="Tahoma" w:cs="Tahoma"/>
        </w:rPr>
      </w:pPr>
    </w:p>
    <w:p w:rsidR="00100473" w:rsidRDefault="00100473" w:rsidP="00B35DBD">
      <w:pPr>
        <w:jc w:val="both"/>
        <w:rPr>
          <w:rFonts w:ascii="Tahoma" w:hAnsi="Tahoma" w:cs="Tahoma"/>
        </w:rPr>
      </w:pPr>
      <w:r>
        <w:rPr>
          <w:rFonts w:ascii="Tahoma" w:hAnsi="Tahoma" w:cs="Tahoma"/>
        </w:rPr>
        <w:t>- Les plats de TS et de KS nous indique</w:t>
      </w:r>
      <w:r w:rsidR="00FD367A">
        <w:rPr>
          <w:rFonts w:ascii="Tahoma" w:hAnsi="Tahoma" w:cs="Tahoma"/>
        </w:rPr>
        <w:t>nt</w:t>
      </w:r>
      <w:r>
        <w:rPr>
          <w:rFonts w:ascii="Tahoma" w:hAnsi="Tahoma" w:cs="Tahoma"/>
        </w:rPr>
        <w:t xml:space="preserve"> que le marché n’est plus en tendance. Cette situation renforcera l’impact des supports et des résistances sur les cours.</w:t>
      </w:r>
    </w:p>
    <w:p w:rsidR="00100473" w:rsidRDefault="00100473" w:rsidP="00B35DBD">
      <w:pPr>
        <w:jc w:val="both"/>
        <w:rPr>
          <w:rFonts w:ascii="Tahoma" w:hAnsi="Tahoma" w:cs="Tahoma"/>
        </w:rPr>
      </w:pPr>
    </w:p>
    <w:p w:rsidR="00100473" w:rsidRDefault="00100473" w:rsidP="00B35DBD">
      <w:pPr>
        <w:jc w:val="both"/>
        <w:rPr>
          <w:rFonts w:ascii="Tahoma" w:hAnsi="Tahoma" w:cs="Tahoma"/>
        </w:rPr>
      </w:pPr>
      <w:r>
        <w:rPr>
          <w:rFonts w:ascii="Tahoma" w:hAnsi="Tahoma" w:cs="Tahoma"/>
        </w:rPr>
        <w:t xml:space="preserve">- La cassure du plat de KS de 156.15 permettra d’annuler l’impact positif de la chandelle blanche issue du meeting de la BCE et d’envisager un retour du courant baissier. </w:t>
      </w:r>
    </w:p>
    <w:p w:rsidR="00B35DBD" w:rsidRDefault="00B35DBD" w:rsidP="003952D7">
      <w:pPr>
        <w:jc w:val="both"/>
        <w:rPr>
          <w:rFonts w:ascii="Arial" w:hAnsi="Arial" w:cs="Arial"/>
          <w:b/>
          <w:color w:val="FF0000"/>
        </w:rPr>
      </w:pPr>
    </w:p>
    <w:p w:rsidR="00FD367A" w:rsidRDefault="00FD367A" w:rsidP="003952D7">
      <w:pPr>
        <w:jc w:val="both"/>
        <w:rPr>
          <w:rFonts w:ascii="Arial" w:hAnsi="Arial" w:cs="Arial"/>
          <w:b/>
          <w:color w:val="FF0000"/>
        </w:rPr>
      </w:pPr>
    </w:p>
    <w:p w:rsidR="002A63D2" w:rsidRDefault="002A63D2" w:rsidP="003952D7">
      <w:pPr>
        <w:jc w:val="both"/>
        <w:rPr>
          <w:rFonts w:ascii="Arial" w:hAnsi="Arial" w:cs="Arial"/>
          <w:b/>
          <w:color w:val="FF0000"/>
        </w:rPr>
      </w:pPr>
    </w:p>
    <w:p w:rsidR="00C23D35" w:rsidRPr="008213B0" w:rsidRDefault="00C23D35" w:rsidP="003952D7">
      <w:pPr>
        <w:jc w:val="both"/>
        <w:rPr>
          <w:rFonts w:ascii="Arial" w:hAnsi="Arial" w:cs="Arial"/>
          <w:b/>
          <w:color w:val="FF0000"/>
        </w:rPr>
      </w:pPr>
    </w:p>
    <w:p w:rsidR="00F72829" w:rsidRPr="00151611" w:rsidRDefault="004E02D3" w:rsidP="00F72829">
      <w:pPr>
        <w:jc w:val="both"/>
        <w:rPr>
          <w:rFonts w:ascii="Arial" w:hAnsi="Arial" w:cs="Arial"/>
          <w:b/>
          <w:bCs/>
          <w:sz w:val="36"/>
          <w:szCs w:val="36"/>
          <w:u w:val="single"/>
          <w:lang w:val="en-US"/>
        </w:rPr>
      </w:pPr>
      <w:r w:rsidRPr="00F944A1">
        <w:rPr>
          <w:rFonts w:ascii="Arial" w:hAnsi="Arial" w:cs="Arial"/>
          <w:b/>
          <w:bCs/>
          <w:sz w:val="28"/>
          <w:szCs w:val="28"/>
        </w:rPr>
        <w:lastRenderedPageBreak/>
        <w:t xml:space="preserve"> </w:t>
      </w:r>
      <w:r w:rsidR="00F72829" w:rsidRPr="00F944A1">
        <w:rPr>
          <w:rFonts w:ascii="Arial" w:hAnsi="Arial" w:cs="Arial"/>
          <w:b/>
          <w:bCs/>
          <w:sz w:val="28"/>
          <w:szCs w:val="28"/>
        </w:rPr>
        <w:t xml:space="preserve">                                      </w:t>
      </w:r>
      <w:r w:rsidR="00F72829" w:rsidRPr="00151611">
        <w:rPr>
          <w:rFonts w:ascii="Arial" w:hAnsi="Arial" w:cs="Arial"/>
          <w:b/>
          <w:bCs/>
          <w:sz w:val="36"/>
          <w:szCs w:val="36"/>
          <w:u w:val="single"/>
          <w:lang w:val="en-US"/>
        </w:rPr>
        <w:t xml:space="preserve">10 ans USA </w:t>
      </w:r>
    </w:p>
    <w:p w:rsidR="00F72829" w:rsidRPr="00151611" w:rsidRDefault="00F72829" w:rsidP="00F72829">
      <w:pPr>
        <w:jc w:val="both"/>
        <w:rPr>
          <w:rFonts w:ascii="Arial" w:hAnsi="Arial" w:cs="Arial"/>
          <w:b/>
          <w:bCs/>
          <w:sz w:val="28"/>
          <w:szCs w:val="28"/>
          <w:u w:val="single"/>
          <w:lang w:val="en-US"/>
        </w:rPr>
      </w:pPr>
      <w:r w:rsidRPr="00151611">
        <w:rPr>
          <w:rFonts w:ascii="Arial" w:hAnsi="Arial" w:cs="Arial"/>
          <w:b/>
          <w:bCs/>
          <w:sz w:val="28"/>
          <w:szCs w:val="28"/>
          <w:u w:val="single"/>
          <w:lang w:val="en-US"/>
        </w:rPr>
        <w:t xml:space="preserve">Daily </w:t>
      </w:r>
    </w:p>
    <w:p w:rsidR="00F72829" w:rsidRPr="00151611" w:rsidRDefault="00151611" w:rsidP="00F72829">
      <w:pPr>
        <w:ind w:left="-850"/>
        <w:jc w:val="both"/>
        <w:rPr>
          <w:rFonts w:ascii="Arial" w:hAnsi="Arial" w:cs="Arial"/>
          <w:b/>
          <w:bCs/>
          <w:sz w:val="28"/>
          <w:szCs w:val="28"/>
          <w:u w:val="single"/>
          <w:lang w:val="en-US"/>
        </w:rPr>
      </w:pPr>
      <w:r>
        <w:rPr>
          <w:rFonts w:ascii="Arial" w:hAnsi="Arial" w:cs="Arial"/>
          <w:b/>
          <w:bCs/>
          <w:noProof/>
          <w:sz w:val="28"/>
          <w:szCs w:val="28"/>
          <w:u w:val="single"/>
        </w:rPr>
        <w:drawing>
          <wp:inline distT="0" distB="0" distL="0" distR="0">
            <wp:extent cx="6946490" cy="3930445"/>
            <wp:effectExtent l="0" t="0" r="6985" b="0"/>
            <wp:docPr id="4" name="Image 4" descr="C:\Temp\Bloomberg\temp\bfm1F4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Temp\Bloomberg\temp\bfm1F40.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939695" cy="3926600"/>
                    </a:xfrm>
                    <a:prstGeom prst="rect">
                      <a:avLst/>
                    </a:prstGeom>
                    <a:noFill/>
                    <a:ln>
                      <a:noFill/>
                    </a:ln>
                  </pic:spPr>
                </pic:pic>
              </a:graphicData>
            </a:graphic>
          </wp:inline>
        </w:drawing>
      </w:r>
    </w:p>
    <w:p w:rsidR="00F72829" w:rsidRPr="00151611" w:rsidRDefault="00F72829" w:rsidP="00F72829">
      <w:pPr>
        <w:jc w:val="both"/>
        <w:rPr>
          <w:rFonts w:ascii="Arial" w:hAnsi="Arial" w:cs="Arial"/>
          <w:b/>
          <w:bCs/>
          <w:sz w:val="28"/>
          <w:szCs w:val="28"/>
          <w:u w:val="single"/>
          <w:lang w:val="en-US"/>
        </w:rPr>
      </w:pPr>
      <w:r w:rsidRPr="00151611">
        <w:rPr>
          <w:rFonts w:ascii="Arial" w:hAnsi="Arial" w:cs="Arial"/>
          <w:b/>
          <w:bCs/>
          <w:sz w:val="28"/>
          <w:szCs w:val="28"/>
          <w:u w:val="single"/>
          <w:lang w:val="en-US"/>
        </w:rPr>
        <w:t>Weekly</w:t>
      </w:r>
    </w:p>
    <w:p w:rsidR="00F72829" w:rsidRPr="00151611" w:rsidRDefault="00151611" w:rsidP="00F72829">
      <w:pPr>
        <w:tabs>
          <w:tab w:val="left" w:pos="4395"/>
        </w:tabs>
        <w:ind w:left="-850"/>
        <w:jc w:val="both"/>
        <w:rPr>
          <w:rFonts w:ascii="Arial" w:hAnsi="Arial" w:cs="Arial"/>
          <w:b/>
          <w:bCs/>
          <w:sz w:val="28"/>
          <w:szCs w:val="28"/>
          <w:u w:val="single"/>
          <w:lang w:val="en-US"/>
        </w:rPr>
      </w:pPr>
      <w:r>
        <w:rPr>
          <w:rFonts w:ascii="Arial" w:hAnsi="Arial" w:cs="Arial"/>
          <w:b/>
          <w:bCs/>
          <w:noProof/>
          <w:sz w:val="28"/>
          <w:szCs w:val="28"/>
          <w:u w:val="single"/>
        </w:rPr>
        <w:drawing>
          <wp:inline distT="0" distB="0" distL="0" distR="0">
            <wp:extent cx="6858000" cy="4132452"/>
            <wp:effectExtent l="0" t="0" r="0" b="1905"/>
            <wp:docPr id="5" name="Image 5" descr="C:\Temp\Bloomberg\temp\bfmD68F.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Temp\Bloomberg\temp\bfmD68F.b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51292" cy="4128410"/>
                    </a:xfrm>
                    <a:prstGeom prst="rect">
                      <a:avLst/>
                    </a:prstGeom>
                    <a:noFill/>
                    <a:ln>
                      <a:noFill/>
                    </a:ln>
                  </pic:spPr>
                </pic:pic>
              </a:graphicData>
            </a:graphic>
          </wp:inline>
        </w:drawing>
      </w:r>
    </w:p>
    <w:p w:rsidR="00F72829" w:rsidRPr="00151611" w:rsidRDefault="00F72829" w:rsidP="00BE257A">
      <w:pPr>
        <w:jc w:val="both"/>
        <w:rPr>
          <w:rFonts w:ascii="Arial" w:hAnsi="Arial" w:cs="Arial"/>
          <w:b/>
          <w:sz w:val="28"/>
          <w:szCs w:val="28"/>
          <w:u w:val="single"/>
          <w:lang w:val="en-US"/>
        </w:rPr>
      </w:pPr>
      <w:r w:rsidRPr="00151611">
        <w:rPr>
          <w:rFonts w:ascii="Arial" w:hAnsi="Arial" w:cs="Arial"/>
          <w:b/>
          <w:sz w:val="28"/>
          <w:szCs w:val="28"/>
          <w:u w:val="single"/>
          <w:lang w:val="en-US"/>
        </w:rPr>
        <w:lastRenderedPageBreak/>
        <w:t>Monthly</w:t>
      </w:r>
    </w:p>
    <w:p w:rsidR="00151611" w:rsidRDefault="00151611" w:rsidP="00151611">
      <w:pPr>
        <w:ind w:left="-850"/>
        <w:jc w:val="both"/>
        <w:rPr>
          <w:rFonts w:ascii="Arial" w:hAnsi="Arial" w:cs="Arial"/>
          <w:b/>
          <w:bCs/>
          <w:sz w:val="28"/>
          <w:szCs w:val="28"/>
          <w:u w:val="single"/>
          <w:lang w:val="en-US"/>
        </w:rPr>
      </w:pPr>
      <w:r>
        <w:rPr>
          <w:rFonts w:ascii="Arial" w:hAnsi="Arial" w:cs="Arial"/>
          <w:b/>
          <w:bCs/>
          <w:noProof/>
          <w:sz w:val="28"/>
          <w:szCs w:val="28"/>
          <w:u w:val="single"/>
        </w:rPr>
        <w:drawing>
          <wp:inline distT="0" distB="0" distL="0" distR="0">
            <wp:extent cx="6585155" cy="3384755"/>
            <wp:effectExtent l="0" t="0" r="6350" b="6350"/>
            <wp:docPr id="6" name="Image 6" descr="C:\Temp\Bloomberg\temp\bfm593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Temp\Bloomberg\temp\bfm5937.b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578713" cy="3381444"/>
                    </a:xfrm>
                    <a:prstGeom prst="rect">
                      <a:avLst/>
                    </a:prstGeom>
                    <a:noFill/>
                    <a:ln>
                      <a:noFill/>
                    </a:ln>
                  </pic:spPr>
                </pic:pic>
              </a:graphicData>
            </a:graphic>
          </wp:inline>
        </w:drawing>
      </w:r>
    </w:p>
    <w:p w:rsidR="00151611" w:rsidRPr="00151611" w:rsidRDefault="00151611" w:rsidP="00151611">
      <w:pPr>
        <w:ind w:left="-850"/>
        <w:jc w:val="both"/>
        <w:rPr>
          <w:rFonts w:ascii="Arial" w:hAnsi="Arial" w:cs="Arial"/>
          <w:b/>
          <w:bCs/>
          <w:sz w:val="28"/>
          <w:szCs w:val="28"/>
          <w:u w:val="single"/>
          <w:lang w:val="en-US"/>
        </w:rPr>
      </w:pPr>
    </w:p>
    <w:p w:rsidR="008213B0" w:rsidRDefault="00CF7FF8" w:rsidP="008213B0">
      <w:pPr>
        <w:jc w:val="both"/>
        <w:rPr>
          <w:rFonts w:ascii="Tahoma" w:hAnsi="Tahoma" w:cs="Tahoma"/>
          <w:bCs/>
        </w:rPr>
      </w:pPr>
      <w:r w:rsidRPr="00F950A8">
        <w:rPr>
          <w:rFonts w:ascii="Arial" w:hAnsi="Arial" w:cs="Arial"/>
          <w:b/>
          <w:bCs/>
        </w:rPr>
        <w:t xml:space="preserve">D : </w:t>
      </w:r>
      <w:r w:rsidR="00BE6BD9">
        <w:rPr>
          <w:rFonts w:ascii="Tahoma" w:hAnsi="Tahoma" w:cs="Tahoma"/>
          <w:bCs/>
        </w:rPr>
        <w:t>La forme prise par la TS et la KS nous indique que la dynamique haussière fait une pause.</w:t>
      </w:r>
    </w:p>
    <w:p w:rsidR="00A901AB" w:rsidRDefault="00A901AB" w:rsidP="008213B0">
      <w:pPr>
        <w:jc w:val="both"/>
        <w:rPr>
          <w:rFonts w:ascii="Tahoma" w:hAnsi="Tahoma" w:cs="Tahoma"/>
          <w:bCs/>
        </w:rPr>
      </w:pPr>
      <w:r>
        <w:rPr>
          <w:rFonts w:ascii="Tahoma" w:hAnsi="Tahoma" w:cs="Tahoma"/>
          <w:bCs/>
        </w:rPr>
        <w:t xml:space="preserve">Cette pause ne remet pas en question le contexte haussier. La solidité de la hausse repose sur une évolution du 10 ans autour de sa TS </w:t>
      </w:r>
      <w:r w:rsidR="00C85349">
        <w:rPr>
          <w:rFonts w:ascii="Tahoma" w:hAnsi="Tahoma" w:cs="Tahoma"/>
          <w:bCs/>
        </w:rPr>
        <w:t>et au dessus d’un</w:t>
      </w:r>
      <w:r>
        <w:rPr>
          <w:rFonts w:ascii="Tahoma" w:hAnsi="Tahoma" w:cs="Tahoma"/>
          <w:bCs/>
        </w:rPr>
        <w:t xml:space="preserve"> support matérialisé par </w:t>
      </w:r>
      <w:r w:rsidR="00841EF7">
        <w:rPr>
          <w:rFonts w:ascii="Tahoma" w:hAnsi="Tahoma" w:cs="Tahoma"/>
          <w:bCs/>
        </w:rPr>
        <w:t>s</w:t>
      </w:r>
      <w:r>
        <w:rPr>
          <w:rFonts w:ascii="Tahoma" w:hAnsi="Tahoma" w:cs="Tahoma"/>
          <w:bCs/>
        </w:rPr>
        <w:t xml:space="preserve">a KS. </w:t>
      </w:r>
    </w:p>
    <w:p w:rsidR="00A901AB" w:rsidRPr="00F950A8" w:rsidRDefault="00A901AB" w:rsidP="008213B0">
      <w:pPr>
        <w:jc w:val="both"/>
        <w:rPr>
          <w:rFonts w:ascii="Tahoma" w:hAnsi="Tahoma" w:cs="Tahoma"/>
          <w:bCs/>
        </w:rPr>
      </w:pPr>
      <w:r>
        <w:rPr>
          <w:rFonts w:ascii="Tahoma" w:hAnsi="Tahoma" w:cs="Tahoma"/>
          <w:bCs/>
        </w:rPr>
        <w:t xml:space="preserve">Les plats de ces derniers jours </w:t>
      </w:r>
      <w:r w:rsidR="00841EF7">
        <w:rPr>
          <w:rFonts w:ascii="Tahoma" w:hAnsi="Tahoma" w:cs="Tahoma"/>
          <w:bCs/>
        </w:rPr>
        <w:t xml:space="preserve">(TS et KS) </w:t>
      </w:r>
      <w:r>
        <w:rPr>
          <w:rFonts w:ascii="Tahoma" w:hAnsi="Tahoma" w:cs="Tahoma"/>
          <w:bCs/>
        </w:rPr>
        <w:t xml:space="preserve">ne remettent pas en question ce contexte. Ils </w:t>
      </w:r>
      <w:r w:rsidR="001B1120">
        <w:rPr>
          <w:rFonts w:ascii="Tahoma" w:hAnsi="Tahoma" w:cs="Tahoma"/>
          <w:bCs/>
        </w:rPr>
        <w:t>resteront inscrits dans un environnement de poursuite de la hausse tant que le support de 2.80 ne sera pas enfoncé.</w:t>
      </w:r>
    </w:p>
    <w:p w:rsidR="00CF7FF8" w:rsidRPr="00F950A8" w:rsidRDefault="00CF7FF8" w:rsidP="00CF7FF8">
      <w:pPr>
        <w:jc w:val="both"/>
        <w:rPr>
          <w:rFonts w:ascii="Tahoma" w:hAnsi="Tahoma" w:cs="Tahoma"/>
          <w:bCs/>
        </w:rPr>
      </w:pPr>
      <w:r w:rsidRPr="00F950A8">
        <w:rPr>
          <w:rFonts w:ascii="Tahoma" w:hAnsi="Tahoma" w:cs="Tahoma"/>
          <w:bCs/>
        </w:rPr>
        <w:t xml:space="preserve">  </w:t>
      </w:r>
    </w:p>
    <w:p w:rsidR="001C0A29" w:rsidRDefault="00CF7FF8" w:rsidP="008213B0">
      <w:pPr>
        <w:jc w:val="both"/>
        <w:rPr>
          <w:rFonts w:ascii="Tahoma" w:hAnsi="Tahoma" w:cs="Tahoma"/>
          <w:bCs/>
        </w:rPr>
      </w:pPr>
      <w:r w:rsidRPr="00F950A8">
        <w:rPr>
          <w:rFonts w:ascii="Arial" w:hAnsi="Arial" w:cs="Arial"/>
          <w:b/>
          <w:bCs/>
        </w:rPr>
        <w:t xml:space="preserve">W : </w:t>
      </w:r>
      <w:r w:rsidR="000D7ED2">
        <w:rPr>
          <w:rFonts w:ascii="Tahoma" w:hAnsi="Tahoma" w:cs="Tahoma"/>
          <w:bCs/>
        </w:rPr>
        <w:t xml:space="preserve">Sur le moyen terme, l’écart entre le taux et la TS est un peu trop </w:t>
      </w:r>
      <w:r w:rsidR="001C0A29">
        <w:rPr>
          <w:rFonts w:ascii="Tahoma" w:hAnsi="Tahoma" w:cs="Tahoma"/>
          <w:bCs/>
        </w:rPr>
        <w:t>important. Il traduit une situation de sur tension</w:t>
      </w:r>
      <w:r w:rsidR="00C85349">
        <w:rPr>
          <w:rFonts w:ascii="Tahoma" w:hAnsi="Tahoma" w:cs="Tahoma"/>
          <w:bCs/>
        </w:rPr>
        <w:t>,</w:t>
      </w:r>
      <w:r w:rsidR="001C0A29">
        <w:rPr>
          <w:rFonts w:ascii="Tahoma" w:hAnsi="Tahoma" w:cs="Tahoma"/>
          <w:bCs/>
        </w:rPr>
        <w:t xml:space="preserve"> confirmée par les indicateurs techniques classiques. </w:t>
      </w:r>
    </w:p>
    <w:p w:rsidR="00CF7FF8" w:rsidRDefault="001C0A29" w:rsidP="008213B0">
      <w:pPr>
        <w:jc w:val="both"/>
        <w:rPr>
          <w:rFonts w:ascii="Tahoma" w:hAnsi="Tahoma" w:cs="Tahoma"/>
          <w:bCs/>
        </w:rPr>
      </w:pPr>
      <w:r>
        <w:rPr>
          <w:rFonts w:ascii="Tahoma" w:hAnsi="Tahoma" w:cs="Tahoma"/>
          <w:bCs/>
        </w:rPr>
        <w:t>Un maintien d</w:t>
      </w:r>
      <w:r w:rsidR="00D24188">
        <w:rPr>
          <w:rFonts w:ascii="Tahoma" w:hAnsi="Tahoma" w:cs="Tahoma"/>
          <w:bCs/>
        </w:rPr>
        <w:t>u marché sous le dernier sommet de 2.95</w:t>
      </w:r>
      <w:r>
        <w:rPr>
          <w:rFonts w:ascii="Tahoma" w:hAnsi="Tahoma" w:cs="Tahoma"/>
          <w:bCs/>
        </w:rPr>
        <w:t xml:space="preserve"> permettra </w:t>
      </w:r>
      <w:r w:rsidR="00841EF7">
        <w:rPr>
          <w:rFonts w:ascii="Tahoma" w:hAnsi="Tahoma" w:cs="Tahoma"/>
          <w:bCs/>
        </w:rPr>
        <w:t xml:space="preserve">la </w:t>
      </w:r>
      <w:r>
        <w:rPr>
          <w:rFonts w:ascii="Tahoma" w:hAnsi="Tahoma" w:cs="Tahoma"/>
          <w:bCs/>
        </w:rPr>
        <w:t>réduction de cette tension avant une reprise du mouvement vers de nouveaux</w:t>
      </w:r>
      <w:r w:rsidR="00AF6373">
        <w:rPr>
          <w:rFonts w:ascii="Tahoma" w:hAnsi="Tahoma" w:cs="Tahoma"/>
          <w:bCs/>
        </w:rPr>
        <w:t xml:space="preserve"> </w:t>
      </w:r>
      <w:r>
        <w:rPr>
          <w:rFonts w:ascii="Tahoma" w:hAnsi="Tahoma" w:cs="Tahoma"/>
          <w:bCs/>
        </w:rPr>
        <w:t>points hauts.</w:t>
      </w:r>
    </w:p>
    <w:p w:rsidR="00D24188" w:rsidRPr="00F950A8" w:rsidRDefault="00D24188" w:rsidP="008213B0">
      <w:pPr>
        <w:jc w:val="both"/>
        <w:rPr>
          <w:rFonts w:ascii="Tahoma" w:hAnsi="Tahoma" w:cs="Tahoma"/>
          <w:bCs/>
        </w:rPr>
      </w:pPr>
      <w:r>
        <w:rPr>
          <w:rFonts w:ascii="Tahoma" w:hAnsi="Tahoma" w:cs="Tahoma"/>
          <w:bCs/>
        </w:rPr>
        <w:t>Dans ce contexte, la TS pourra servir de support sur 2.73.</w:t>
      </w:r>
    </w:p>
    <w:p w:rsidR="00F72829" w:rsidRPr="00F950A8" w:rsidRDefault="00F72829" w:rsidP="00F72829">
      <w:pPr>
        <w:tabs>
          <w:tab w:val="left" w:pos="5868"/>
        </w:tabs>
        <w:autoSpaceDE w:val="0"/>
        <w:jc w:val="both"/>
        <w:rPr>
          <w:rFonts w:ascii="Tahoma" w:hAnsi="Tahoma" w:cs="Tahoma"/>
        </w:rPr>
      </w:pPr>
    </w:p>
    <w:p w:rsidR="00C620BE" w:rsidRDefault="00F72829" w:rsidP="00F72829">
      <w:pPr>
        <w:tabs>
          <w:tab w:val="left" w:pos="5868"/>
        </w:tabs>
        <w:autoSpaceDE w:val="0"/>
        <w:jc w:val="both"/>
        <w:rPr>
          <w:rFonts w:ascii="Tahoma" w:hAnsi="Tahoma" w:cs="Tahoma"/>
        </w:rPr>
      </w:pPr>
      <w:r w:rsidRPr="00367239">
        <w:rPr>
          <w:rFonts w:ascii="Arial" w:hAnsi="Arial" w:cs="Arial"/>
          <w:b/>
          <w:bCs/>
        </w:rPr>
        <w:t>M</w:t>
      </w:r>
      <w:r w:rsidRPr="00367239">
        <w:rPr>
          <w:rFonts w:ascii="Tahoma" w:hAnsi="Tahoma" w:cs="Tahoma"/>
        </w:rPr>
        <w:t xml:space="preserve"> : </w:t>
      </w:r>
      <w:r w:rsidR="00367239">
        <w:rPr>
          <w:rFonts w:ascii="Tahoma" w:hAnsi="Tahoma" w:cs="Tahoma"/>
        </w:rPr>
        <w:t xml:space="preserve">Le support de la LS reprend un plat de nuage sur 2.69. Ce point s’ajoutera </w:t>
      </w:r>
      <w:r w:rsidR="00354C96">
        <w:rPr>
          <w:rFonts w:ascii="Tahoma" w:hAnsi="Tahoma" w:cs="Tahoma"/>
        </w:rPr>
        <w:t>aux supports évoqués</w:t>
      </w:r>
      <w:r w:rsidR="00367239">
        <w:rPr>
          <w:rFonts w:ascii="Tahoma" w:hAnsi="Tahoma" w:cs="Tahoma"/>
        </w:rPr>
        <w:t xml:space="preserve"> sur le court terme et le moyen terme. </w:t>
      </w:r>
    </w:p>
    <w:p w:rsidR="00151611" w:rsidRPr="00151611" w:rsidRDefault="00151611" w:rsidP="00F72829">
      <w:pPr>
        <w:tabs>
          <w:tab w:val="left" w:pos="5868"/>
        </w:tabs>
        <w:autoSpaceDE w:val="0"/>
        <w:jc w:val="both"/>
        <w:rPr>
          <w:rFonts w:ascii="Tahoma" w:hAnsi="Tahoma" w:cs="Tahoma"/>
        </w:rPr>
      </w:pPr>
    </w:p>
    <w:p w:rsidR="00C620BE" w:rsidRPr="008213B0" w:rsidRDefault="00C620BE" w:rsidP="00F72829">
      <w:pPr>
        <w:tabs>
          <w:tab w:val="left" w:pos="5868"/>
        </w:tabs>
        <w:autoSpaceDE w:val="0"/>
        <w:jc w:val="both"/>
        <w:rPr>
          <w:rFonts w:ascii="Arial" w:hAnsi="Arial" w:cs="Arial"/>
          <w:b/>
          <w:bCs/>
          <w:color w:val="FF0000"/>
        </w:rPr>
      </w:pPr>
    </w:p>
    <w:p w:rsidR="009C2A7C" w:rsidRDefault="00F72829" w:rsidP="0097505A">
      <w:pPr>
        <w:jc w:val="both"/>
        <w:rPr>
          <w:rFonts w:ascii="Arial" w:hAnsi="Arial" w:cs="Arial"/>
          <w:b/>
          <w:color w:val="00B050"/>
        </w:rPr>
      </w:pPr>
      <w:r w:rsidRPr="00C620BE">
        <w:rPr>
          <w:rFonts w:ascii="Arial" w:hAnsi="Arial" w:cs="Arial"/>
          <w:b/>
          <w:color w:val="00B050"/>
          <w:u w:val="single"/>
        </w:rPr>
        <w:t>HEBDOMADAIRE</w:t>
      </w:r>
      <w:r w:rsidRPr="00C620BE">
        <w:rPr>
          <w:rFonts w:ascii="Arial" w:hAnsi="Arial" w:cs="Arial"/>
          <w:b/>
          <w:color w:val="00B050"/>
        </w:rPr>
        <w:t xml:space="preserve"> : </w:t>
      </w:r>
      <w:r w:rsidR="00C620BE">
        <w:rPr>
          <w:rFonts w:ascii="Arial" w:hAnsi="Arial" w:cs="Arial"/>
          <w:b/>
          <w:color w:val="00B050"/>
        </w:rPr>
        <w:t xml:space="preserve">La hausse de court terme n’est pas remise en question. Le 10 ans évolue </w:t>
      </w:r>
      <w:r w:rsidR="00354C96">
        <w:rPr>
          <w:rFonts w:ascii="Arial" w:hAnsi="Arial" w:cs="Arial"/>
          <w:b/>
          <w:color w:val="00B050"/>
        </w:rPr>
        <w:t>au-dessus</w:t>
      </w:r>
      <w:r w:rsidR="00C620BE">
        <w:rPr>
          <w:rFonts w:ascii="Arial" w:hAnsi="Arial" w:cs="Arial"/>
          <w:b/>
          <w:color w:val="00B050"/>
        </w:rPr>
        <w:t xml:space="preserve"> d</w:t>
      </w:r>
      <w:r w:rsidR="004A7BFF">
        <w:rPr>
          <w:rFonts w:ascii="Arial" w:hAnsi="Arial" w:cs="Arial"/>
          <w:b/>
          <w:color w:val="00B050"/>
        </w:rPr>
        <w:t xml:space="preserve">e sa KS qui servira </w:t>
      </w:r>
      <w:r w:rsidR="00841EF7">
        <w:rPr>
          <w:rFonts w:ascii="Arial" w:hAnsi="Arial" w:cs="Arial"/>
          <w:b/>
          <w:color w:val="00B050"/>
        </w:rPr>
        <w:t xml:space="preserve">de support sur 2.80 </w:t>
      </w:r>
      <w:r w:rsidR="004A7BFF">
        <w:rPr>
          <w:rFonts w:ascii="Arial" w:hAnsi="Arial" w:cs="Arial"/>
          <w:b/>
          <w:color w:val="00B050"/>
        </w:rPr>
        <w:t>une partie de la semaine.</w:t>
      </w:r>
    </w:p>
    <w:p w:rsidR="004A7BFF" w:rsidRDefault="004A7BFF" w:rsidP="0097505A">
      <w:pPr>
        <w:jc w:val="both"/>
        <w:rPr>
          <w:rFonts w:ascii="Arial" w:hAnsi="Arial" w:cs="Arial"/>
          <w:b/>
          <w:color w:val="00B050"/>
        </w:rPr>
      </w:pPr>
      <w:r>
        <w:rPr>
          <w:rFonts w:ascii="Arial" w:hAnsi="Arial" w:cs="Arial"/>
          <w:b/>
          <w:color w:val="00B050"/>
        </w:rPr>
        <w:t>Le moyen terme dessine un support sur 2.73 et le long terme sur 2.69.</w:t>
      </w:r>
    </w:p>
    <w:p w:rsidR="00B018B5" w:rsidRPr="00C620BE" w:rsidRDefault="00643293" w:rsidP="0097505A">
      <w:pPr>
        <w:jc w:val="both"/>
        <w:rPr>
          <w:rFonts w:ascii="Arial" w:hAnsi="Arial" w:cs="Arial"/>
          <w:b/>
          <w:color w:val="00B050"/>
        </w:rPr>
      </w:pPr>
      <w:r>
        <w:rPr>
          <w:rFonts w:ascii="Arial" w:hAnsi="Arial" w:cs="Arial"/>
          <w:b/>
          <w:color w:val="00B050"/>
        </w:rPr>
        <w:t>Sur le court terme, v</w:t>
      </w:r>
      <w:r w:rsidR="00B018B5">
        <w:rPr>
          <w:rFonts w:ascii="Arial" w:hAnsi="Arial" w:cs="Arial"/>
          <w:b/>
          <w:color w:val="00B050"/>
        </w:rPr>
        <w:t>ue la forme et la position du nuage, un début de remise en question de la hausse passera par une rupture</w:t>
      </w:r>
      <w:r>
        <w:rPr>
          <w:rFonts w:ascii="Arial" w:hAnsi="Arial" w:cs="Arial"/>
          <w:b/>
          <w:color w:val="00B050"/>
        </w:rPr>
        <w:t xml:space="preserve"> de 2.69, niveau de la SSA. </w:t>
      </w:r>
    </w:p>
    <w:p w:rsidR="00B41142" w:rsidRPr="00015DE9" w:rsidRDefault="00015DE9" w:rsidP="00BE257A">
      <w:pPr>
        <w:jc w:val="both"/>
        <w:rPr>
          <w:rFonts w:ascii="Arial" w:hAnsi="Arial" w:cs="Arial"/>
          <w:b/>
          <w:color w:val="00B050"/>
        </w:rPr>
      </w:pPr>
      <w:r>
        <w:rPr>
          <w:rFonts w:ascii="Arial" w:hAnsi="Arial" w:cs="Arial"/>
          <w:b/>
          <w:color w:val="00B050"/>
        </w:rPr>
        <w:t xml:space="preserve"> </w:t>
      </w:r>
    </w:p>
    <w:p w:rsidR="00F72829" w:rsidRPr="00151611" w:rsidRDefault="00F72829" w:rsidP="00BE257A">
      <w:pPr>
        <w:jc w:val="both"/>
        <w:rPr>
          <w:rFonts w:ascii="Arial" w:hAnsi="Arial" w:cs="Arial"/>
          <w:b/>
          <w:color w:val="00B050"/>
          <w:lang w:val="en-US"/>
        </w:rPr>
      </w:pPr>
      <w:r w:rsidRPr="000D21A7">
        <w:rPr>
          <w:rFonts w:ascii="Arial" w:hAnsi="Arial" w:cs="Arial"/>
          <w:b/>
          <w:bCs/>
          <w:color w:val="FF0000"/>
          <w:sz w:val="28"/>
          <w:szCs w:val="28"/>
        </w:rPr>
        <w:lastRenderedPageBreak/>
        <w:t xml:space="preserve">                                        </w:t>
      </w:r>
      <w:r w:rsidRPr="00151611">
        <w:rPr>
          <w:rFonts w:ascii="Arial" w:hAnsi="Arial" w:cs="Arial"/>
          <w:b/>
          <w:bCs/>
          <w:sz w:val="36"/>
          <w:szCs w:val="36"/>
          <w:u w:val="single"/>
          <w:lang w:val="en-US"/>
        </w:rPr>
        <w:t xml:space="preserve">10 ans UK </w:t>
      </w:r>
      <w:r w:rsidRPr="00151611">
        <w:rPr>
          <w:rFonts w:ascii="Arial" w:hAnsi="Arial" w:cs="Arial"/>
          <w:b/>
          <w:i/>
          <w:lang w:val="en-US"/>
        </w:rPr>
        <w:t xml:space="preserve">                             </w:t>
      </w:r>
    </w:p>
    <w:p w:rsidR="00F72829" w:rsidRPr="00151611" w:rsidRDefault="00F72829" w:rsidP="00F72829">
      <w:pPr>
        <w:jc w:val="both"/>
        <w:rPr>
          <w:rFonts w:ascii="Arial" w:hAnsi="Arial" w:cs="Arial"/>
          <w:b/>
          <w:bCs/>
          <w:sz w:val="28"/>
          <w:szCs w:val="28"/>
          <w:u w:val="single"/>
          <w:lang w:val="en-US"/>
        </w:rPr>
      </w:pPr>
      <w:r w:rsidRPr="00151611">
        <w:rPr>
          <w:rFonts w:ascii="Arial" w:hAnsi="Arial" w:cs="Arial"/>
          <w:b/>
          <w:bCs/>
          <w:sz w:val="28"/>
          <w:szCs w:val="28"/>
          <w:u w:val="single"/>
          <w:lang w:val="en-US"/>
        </w:rPr>
        <w:t>Daily</w:t>
      </w:r>
    </w:p>
    <w:p w:rsidR="00F72829" w:rsidRPr="00151611" w:rsidRDefault="00015DE9" w:rsidP="00F72829">
      <w:pPr>
        <w:ind w:left="-850"/>
        <w:jc w:val="both"/>
        <w:rPr>
          <w:rFonts w:ascii="Arial" w:hAnsi="Arial" w:cs="Arial"/>
          <w:b/>
          <w:bCs/>
          <w:sz w:val="28"/>
          <w:szCs w:val="28"/>
          <w:u w:val="single"/>
          <w:lang w:val="en-US"/>
        </w:rPr>
      </w:pPr>
      <w:r>
        <w:rPr>
          <w:rFonts w:ascii="Arial" w:hAnsi="Arial" w:cs="Arial"/>
          <w:b/>
          <w:bCs/>
          <w:noProof/>
          <w:sz w:val="28"/>
          <w:szCs w:val="28"/>
          <w:u w:val="single"/>
        </w:rPr>
        <w:drawing>
          <wp:inline distT="0" distB="0" distL="0" distR="0">
            <wp:extent cx="6806381" cy="4055807"/>
            <wp:effectExtent l="0" t="0" r="0" b="1905"/>
            <wp:docPr id="7" name="Image 7" descr="C:\Temp\Bloomberg\temp\bfmD57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Temp\Bloomberg\temp\bfmD578.b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799723" cy="4051840"/>
                    </a:xfrm>
                    <a:prstGeom prst="rect">
                      <a:avLst/>
                    </a:prstGeom>
                    <a:noFill/>
                    <a:ln>
                      <a:noFill/>
                    </a:ln>
                  </pic:spPr>
                </pic:pic>
              </a:graphicData>
            </a:graphic>
          </wp:inline>
        </w:drawing>
      </w:r>
    </w:p>
    <w:p w:rsidR="00F72829" w:rsidRPr="00151611" w:rsidRDefault="00F72829" w:rsidP="00F72829">
      <w:pPr>
        <w:jc w:val="both"/>
        <w:rPr>
          <w:rFonts w:ascii="Arial" w:hAnsi="Arial" w:cs="Arial"/>
          <w:b/>
          <w:bCs/>
          <w:sz w:val="28"/>
          <w:szCs w:val="28"/>
          <w:u w:val="single"/>
          <w:lang w:val="en-US"/>
        </w:rPr>
      </w:pPr>
      <w:r w:rsidRPr="00151611">
        <w:rPr>
          <w:rFonts w:ascii="Arial" w:hAnsi="Arial" w:cs="Arial"/>
          <w:b/>
          <w:bCs/>
          <w:sz w:val="28"/>
          <w:szCs w:val="28"/>
          <w:u w:val="single"/>
          <w:lang w:val="en-US"/>
        </w:rPr>
        <w:t>Weekly</w:t>
      </w:r>
    </w:p>
    <w:p w:rsidR="00F72829" w:rsidRPr="00151611" w:rsidRDefault="00015DE9" w:rsidP="00F72829">
      <w:pPr>
        <w:autoSpaceDE w:val="0"/>
        <w:autoSpaceDN w:val="0"/>
        <w:adjustRightInd w:val="0"/>
        <w:ind w:left="-850"/>
        <w:jc w:val="both"/>
        <w:rPr>
          <w:rFonts w:ascii="Arial" w:hAnsi="Arial" w:cs="Arial"/>
          <w:lang w:val="en-US"/>
        </w:rPr>
      </w:pPr>
      <w:r>
        <w:rPr>
          <w:rFonts w:ascii="Arial" w:hAnsi="Arial" w:cs="Arial"/>
          <w:noProof/>
        </w:rPr>
        <w:drawing>
          <wp:inline distT="0" distB="0" distL="0" distR="0">
            <wp:extent cx="6835877" cy="4033684"/>
            <wp:effectExtent l="0" t="0" r="3175" b="5080"/>
            <wp:docPr id="8" name="Image 8" descr="C:\Temp\Bloomberg\temp\bfmD23F.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Temp\Bloomberg\temp\bfmD23F.b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833993" cy="4032572"/>
                    </a:xfrm>
                    <a:prstGeom prst="rect">
                      <a:avLst/>
                    </a:prstGeom>
                    <a:noFill/>
                    <a:ln>
                      <a:noFill/>
                    </a:ln>
                  </pic:spPr>
                </pic:pic>
              </a:graphicData>
            </a:graphic>
          </wp:inline>
        </w:drawing>
      </w:r>
    </w:p>
    <w:p w:rsidR="00F72829" w:rsidRPr="00151611" w:rsidRDefault="00F72829" w:rsidP="00F72829">
      <w:pPr>
        <w:jc w:val="both"/>
        <w:rPr>
          <w:rFonts w:ascii="Arial" w:hAnsi="Arial" w:cs="Arial"/>
          <w:b/>
          <w:bCs/>
          <w:sz w:val="28"/>
          <w:szCs w:val="28"/>
          <w:u w:val="single"/>
          <w:lang w:val="en-US"/>
        </w:rPr>
      </w:pPr>
      <w:r w:rsidRPr="00151611">
        <w:rPr>
          <w:rFonts w:ascii="Arial" w:hAnsi="Arial" w:cs="Arial"/>
          <w:b/>
          <w:bCs/>
          <w:sz w:val="28"/>
          <w:szCs w:val="28"/>
          <w:u w:val="single"/>
          <w:lang w:val="en-US"/>
        </w:rPr>
        <w:lastRenderedPageBreak/>
        <w:t>Monthly</w:t>
      </w:r>
    </w:p>
    <w:p w:rsidR="0031071E" w:rsidRDefault="00015DE9" w:rsidP="00BE257A">
      <w:pPr>
        <w:ind w:left="-850"/>
        <w:jc w:val="both"/>
        <w:rPr>
          <w:rFonts w:ascii="Arial" w:hAnsi="Arial" w:cs="Arial"/>
          <w:b/>
          <w:bCs/>
          <w:sz w:val="28"/>
          <w:szCs w:val="28"/>
          <w:u w:val="single"/>
          <w:lang w:val="en-US"/>
        </w:rPr>
      </w:pPr>
      <w:r>
        <w:rPr>
          <w:rFonts w:ascii="Arial" w:hAnsi="Arial" w:cs="Arial"/>
          <w:b/>
          <w:bCs/>
          <w:noProof/>
          <w:sz w:val="28"/>
          <w:szCs w:val="28"/>
          <w:u w:val="single"/>
        </w:rPr>
        <w:drawing>
          <wp:inline distT="0" distB="0" distL="0" distR="0">
            <wp:extent cx="6916993" cy="3827207"/>
            <wp:effectExtent l="0" t="0" r="0" b="1905"/>
            <wp:docPr id="9" name="Image 9" descr="C:\Temp\Bloomberg\temp\bfm87F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Temp\Bloomberg\temp\bfm87F8.b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910227" cy="3823463"/>
                    </a:xfrm>
                    <a:prstGeom prst="rect">
                      <a:avLst/>
                    </a:prstGeom>
                    <a:noFill/>
                    <a:ln>
                      <a:noFill/>
                    </a:ln>
                  </pic:spPr>
                </pic:pic>
              </a:graphicData>
            </a:graphic>
          </wp:inline>
        </w:drawing>
      </w:r>
    </w:p>
    <w:p w:rsidR="00024342" w:rsidRPr="00151611" w:rsidRDefault="00024342" w:rsidP="00BE257A">
      <w:pPr>
        <w:ind w:left="-850"/>
        <w:jc w:val="both"/>
        <w:rPr>
          <w:rFonts w:ascii="Arial" w:hAnsi="Arial" w:cs="Arial"/>
          <w:b/>
          <w:bCs/>
          <w:sz w:val="28"/>
          <w:szCs w:val="28"/>
          <w:u w:val="single"/>
          <w:lang w:val="en-US"/>
        </w:rPr>
      </w:pPr>
    </w:p>
    <w:p w:rsidR="00ED0482" w:rsidRDefault="00F72829" w:rsidP="008213B0">
      <w:pPr>
        <w:jc w:val="both"/>
        <w:rPr>
          <w:rFonts w:ascii="Tahoma" w:hAnsi="Tahoma" w:cs="Tahoma"/>
          <w:bCs/>
        </w:rPr>
      </w:pPr>
      <w:r w:rsidRPr="00894BE9">
        <w:rPr>
          <w:rFonts w:ascii="Arial" w:hAnsi="Arial" w:cs="Arial"/>
          <w:b/>
          <w:bCs/>
        </w:rPr>
        <w:t xml:space="preserve">D : </w:t>
      </w:r>
      <w:r w:rsidR="00AC4E3C">
        <w:rPr>
          <w:rFonts w:ascii="Tahoma" w:hAnsi="Tahoma" w:cs="Tahoma"/>
          <w:bCs/>
        </w:rPr>
        <w:t xml:space="preserve">Le mouvement de baisse du 10 ans UK a </w:t>
      </w:r>
      <w:r w:rsidR="00C5448E">
        <w:rPr>
          <w:rFonts w:ascii="Tahoma" w:hAnsi="Tahoma" w:cs="Tahoma"/>
          <w:bCs/>
        </w:rPr>
        <w:t xml:space="preserve">permis de </w:t>
      </w:r>
      <w:r w:rsidR="00AC4E3C">
        <w:rPr>
          <w:rFonts w:ascii="Tahoma" w:hAnsi="Tahoma" w:cs="Tahoma"/>
          <w:bCs/>
        </w:rPr>
        <w:t>touch</w:t>
      </w:r>
      <w:r w:rsidR="00C5448E">
        <w:rPr>
          <w:rFonts w:ascii="Tahoma" w:hAnsi="Tahoma" w:cs="Tahoma"/>
          <w:bCs/>
        </w:rPr>
        <w:t>er</w:t>
      </w:r>
      <w:r w:rsidR="00AC4E3C">
        <w:rPr>
          <w:rFonts w:ascii="Tahoma" w:hAnsi="Tahoma" w:cs="Tahoma"/>
          <w:bCs/>
        </w:rPr>
        <w:t xml:space="preserve"> un plus bas à 1.42.</w:t>
      </w:r>
    </w:p>
    <w:p w:rsidR="00AC4E3C" w:rsidRDefault="00AC4E3C" w:rsidP="008213B0">
      <w:pPr>
        <w:jc w:val="both"/>
        <w:rPr>
          <w:rFonts w:ascii="Tahoma" w:hAnsi="Tahoma" w:cs="Tahoma"/>
          <w:bCs/>
        </w:rPr>
      </w:pPr>
      <w:r>
        <w:rPr>
          <w:rFonts w:ascii="Tahoma" w:hAnsi="Tahoma" w:cs="Tahoma"/>
          <w:bCs/>
        </w:rPr>
        <w:t xml:space="preserve">Le rebond qui a suivi ce bas neutralise le mouvement </w:t>
      </w:r>
      <w:r w:rsidR="00C5448E">
        <w:rPr>
          <w:rFonts w:ascii="Tahoma" w:hAnsi="Tahoma" w:cs="Tahoma"/>
          <w:bCs/>
        </w:rPr>
        <w:t xml:space="preserve">de baisse </w:t>
      </w:r>
      <w:r>
        <w:rPr>
          <w:rFonts w:ascii="Tahoma" w:hAnsi="Tahoma" w:cs="Tahoma"/>
          <w:bCs/>
        </w:rPr>
        <w:t xml:space="preserve">qui se développait </w:t>
      </w:r>
      <w:r w:rsidR="00C5448E">
        <w:rPr>
          <w:rFonts w:ascii="Tahoma" w:hAnsi="Tahoma" w:cs="Tahoma"/>
          <w:bCs/>
        </w:rPr>
        <w:t>pour</w:t>
      </w:r>
      <w:r>
        <w:rPr>
          <w:rFonts w:ascii="Tahoma" w:hAnsi="Tahoma" w:cs="Tahoma"/>
          <w:bCs/>
        </w:rPr>
        <w:t xml:space="preserve"> place</w:t>
      </w:r>
      <w:r w:rsidR="00C5448E">
        <w:rPr>
          <w:rFonts w:ascii="Tahoma" w:hAnsi="Tahoma" w:cs="Tahoma"/>
          <w:bCs/>
        </w:rPr>
        <w:t>r</w:t>
      </w:r>
      <w:r>
        <w:rPr>
          <w:rFonts w:ascii="Tahoma" w:hAnsi="Tahoma" w:cs="Tahoma"/>
          <w:bCs/>
        </w:rPr>
        <w:t xml:space="preserve"> le 10 ans UK dans un environnement de court terme sans tendance.</w:t>
      </w:r>
    </w:p>
    <w:p w:rsidR="00B422AB" w:rsidRDefault="00AC4E3C" w:rsidP="008213B0">
      <w:pPr>
        <w:jc w:val="both"/>
        <w:rPr>
          <w:rFonts w:ascii="Tahoma" w:hAnsi="Tahoma" w:cs="Tahoma"/>
          <w:bCs/>
        </w:rPr>
      </w:pPr>
      <w:r>
        <w:rPr>
          <w:rFonts w:ascii="Tahoma" w:hAnsi="Tahoma" w:cs="Tahoma"/>
          <w:bCs/>
        </w:rPr>
        <w:t xml:space="preserve">Entre 1.67 et 1.42, la KS restera plate au cours de la semaine sur 1.55. Un maintien du marché sous cette courbe </w:t>
      </w:r>
      <w:r w:rsidR="00B422AB">
        <w:rPr>
          <w:rFonts w:ascii="Tahoma" w:hAnsi="Tahoma" w:cs="Tahoma"/>
          <w:bCs/>
        </w:rPr>
        <w:t>permettra d’écarter la hausse de l’analyse.</w:t>
      </w:r>
    </w:p>
    <w:p w:rsidR="00AC4E3C" w:rsidRPr="00894BE9" w:rsidRDefault="00B422AB" w:rsidP="008213B0">
      <w:pPr>
        <w:jc w:val="both"/>
        <w:rPr>
          <w:rFonts w:ascii="Tahoma" w:hAnsi="Tahoma" w:cs="Tahoma"/>
          <w:bCs/>
        </w:rPr>
      </w:pPr>
      <w:r>
        <w:rPr>
          <w:rFonts w:ascii="Tahoma" w:hAnsi="Tahoma" w:cs="Tahoma"/>
          <w:bCs/>
        </w:rPr>
        <w:t xml:space="preserve">De son </w:t>
      </w:r>
      <w:r w:rsidR="00354C96">
        <w:rPr>
          <w:rFonts w:ascii="Tahoma" w:hAnsi="Tahoma" w:cs="Tahoma"/>
          <w:bCs/>
        </w:rPr>
        <w:t>côté</w:t>
      </w:r>
      <w:r>
        <w:rPr>
          <w:rFonts w:ascii="Tahoma" w:hAnsi="Tahoma" w:cs="Tahoma"/>
          <w:bCs/>
        </w:rPr>
        <w:t>, la TS restera plate une bonne partie de la semaine. Ce plat de TS renforcé par les plats de SSA et SSB futurs nous indique que le marché n’est pas en mouvement même si la position du taux et de la LS place</w:t>
      </w:r>
      <w:r w:rsidR="008769DF">
        <w:rPr>
          <w:rFonts w:ascii="Tahoma" w:hAnsi="Tahoma" w:cs="Tahoma"/>
          <w:bCs/>
        </w:rPr>
        <w:t>nt</w:t>
      </w:r>
      <w:r>
        <w:rPr>
          <w:rFonts w:ascii="Tahoma" w:hAnsi="Tahoma" w:cs="Tahoma"/>
          <w:bCs/>
        </w:rPr>
        <w:t xml:space="preserve"> le marché dans un environnement haussier.</w:t>
      </w:r>
      <w:r w:rsidR="00AC4E3C">
        <w:rPr>
          <w:rFonts w:ascii="Tahoma" w:hAnsi="Tahoma" w:cs="Tahoma"/>
          <w:bCs/>
        </w:rPr>
        <w:t xml:space="preserve"> </w:t>
      </w:r>
    </w:p>
    <w:p w:rsidR="00F72829" w:rsidRPr="00894BE9" w:rsidRDefault="00F72829" w:rsidP="00F72829">
      <w:pPr>
        <w:jc w:val="both"/>
        <w:rPr>
          <w:rFonts w:ascii="Tahoma" w:hAnsi="Tahoma" w:cs="Tahoma"/>
          <w:bCs/>
        </w:rPr>
      </w:pPr>
      <w:r w:rsidRPr="00894BE9">
        <w:rPr>
          <w:rFonts w:ascii="Tahoma" w:hAnsi="Tahoma" w:cs="Tahoma"/>
          <w:bCs/>
        </w:rPr>
        <w:t xml:space="preserve">  </w:t>
      </w:r>
    </w:p>
    <w:p w:rsidR="00F846A0" w:rsidRDefault="00F72829" w:rsidP="00670CF7">
      <w:pPr>
        <w:jc w:val="both"/>
        <w:rPr>
          <w:rFonts w:ascii="Tahoma" w:hAnsi="Tahoma" w:cs="Tahoma"/>
          <w:bCs/>
        </w:rPr>
      </w:pPr>
      <w:r w:rsidRPr="00A24B05">
        <w:rPr>
          <w:rFonts w:ascii="Arial" w:hAnsi="Arial" w:cs="Arial"/>
          <w:b/>
          <w:bCs/>
        </w:rPr>
        <w:t>W </w:t>
      </w:r>
      <w:r>
        <w:rPr>
          <w:rFonts w:ascii="Arial" w:hAnsi="Arial" w:cs="Arial"/>
          <w:b/>
          <w:bCs/>
        </w:rPr>
        <w:t xml:space="preserve">: </w:t>
      </w:r>
      <w:r w:rsidR="002A3CA4">
        <w:rPr>
          <w:rFonts w:ascii="Tahoma" w:hAnsi="Tahoma" w:cs="Tahoma"/>
          <w:bCs/>
        </w:rPr>
        <w:t>L’e</w:t>
      </w:r>
      <w:r w:rsidR="009079FA">
        <w:rPr>
          <w:rFonts w:ascii="Tahoma" w:hAnsi="Tahoma" w:cs="Tahoma"/>
          <w:bCs/>
        </w:rPr>
        <w:t xml:space="preserve">nvironnement </w:t>
      </w:r>
      <w:r w:rsidR="00CB45A3">
        <w:rPr>
          <w:rFonts w:ascii="Tahoma" w:hAnsi="Tahoma" w:cs="Tahoma"/>
          <w:bCs/>
        </w:rPr>
        <w:t>est haussier sur cette unité de temps où le plat de nuage passé sert de résistance sur 1.72 et où la KS devrait servir de support sur 1.</w:t>
      </w:r>
      <w:r w:rsidR="008769DF">
        <w:rPr>
          <w:rFonts w:ascii="Tahoma" w:hAnsi="Tahoma" w:cs="Tahoma"/>
          <w:bCs/>
        </w:rPr>
        <w:t>42</w:t>
      </w:r>
      <w:r w:rsidR="00CB45A3">
        <w:rPr>
          <w:rFonts w:ascii="Tahoma" w:hAnsi="Tahoma" w:cs="Tahoma"/>
          <w:bCs/>
        </w:rPr>
        <w:t>.</w:t>
      </w:r>
    </w:p>
    <w:p w:rsidR="00F72829" w:rsidRDefault="00F72829" w:rsidP="00F72829">
      <w:pPr>
        <w:jc w:val="both"/>
        <w:rPr>
          <w:rFonts w:ascii="Arial" w:hAnsi="Arial" w:cs="Arial"/>
          <w:b/>
          <w:bCs/>
        </w:rPr>
      </w:pPr>
    </w:p>
    <w:p w:rsidR="00401AE1" w:rsidRDefault="00F72829" w:rsidP="00D27672">
      <w:pPr>
        <w:jc w:val="both"/>
        <w:rPr>
          <w:rFonts w:ascii="Tahoma" w:hAnsi="Tahoma" w:cs="Tahoma"/>
          <w:bCs/>
          <w:color w:val="FF0000"/>
        </w:rPr>
      </w:pPr>
      <w:r w:rsidRPr="00401AE1">
        <w:rPr>
          <w:rFonts w:ascii="Arial" w:hAnsi="Arial" w:cs="Arial"/>
          <w:b/>
          <w:bCs/>
        </w:rPr>
        <w:t>M :</w:t>
      </w:r>
      <w:r w:rsidRPr="008213B0">
        <w:rPr>
          <w:rFonts w:ascii="Tahoma" w:hAnsi="Tahoma" w:cs="Tahoma"/>
          <w:bCs/>
          <w:color w:val="FF0000"/>
        </w:rPr>
        <w:t xml:space="preserve"> </w:t>
      </w:r>
      <w:r w:rsidR="00401AE1" w:rsidRPr="00401AE1">
        <w:rPr>
          <w:rFonts w:ascii="Tahoma" w:hAnsi="Tahoma" w:cs="Tahoma"/>
          <w:bCs/>
        </w:rPr>
        <w:t>Sur</w:t>
      </w:r>
      <w:r w:rsidR="00E75757">
        <w:rPr>
          <w:rFonts w:ascii="Tahoma" w:hAnsi="Tahoma" w:cs="Tahoma"/>
          <w:bCs/>
          <w:color w:val="FF0000"/>
        </w:rPr>
        <w:t xml:space="preserve"> </w:t>
      </w:r>
      <w:r w:rsidR="00401AE1" w:rsidRPr="00E75757">
        <w:rPr>
          <w:rFonts w:ascii="Tahoma" w:hAnsi="Tahoma" w:cs="Tahoma"/>
          <w:bCs/>
        </w:rPr>
        <w:t>le long terme, la LS devra s’affranchir de plusieurs résistances pour envisager une reprise limitée de la hausse.</w:t>
      </w:r>
      <w:r w:rsidR="00E75757" w:rsidRPr="00E75757">
        <w:rPr>
          <w:rFonts w:ascii="Tahoma" w:hAnsi="Tahoma" w:cs="Tahoma"/>
          <w:bCs/>
        </w:rPr>
        <w:t xml:space="preserve"> Nous retrouvons le point de 1.55 avant le haut récent de 1.67.</w:t>
      </w:r>
    </w:p>
    <w:p w:rsidR="00401AE1" w:rsidRDefault="00401AE1" w:rsidP="00D27672">
      <w:pPr>
        <w:jc w:val="both"/>
        <w:rPr>
          <w:rFonts w:ascii="Tahoma" w:hAnsi="Tahoma" w:cs="Tahoma"/>
          <w:bCs/>
          <w:color w:val="FF0000"/>
        </w:rPr>
      </w:pPr>
    </w:p>
    <w:p w:rsidR="00F72829" w:rsidRPr="008213B0" w:rsidRDefault="00F72829" w:rsidP="00F72829">
      <w:pPr>
        <w:jc w:val="both"/>
        <w:rPr>
          <w:rFonts w:ascii="Arial" w:hAnsi="Arial" w:cs="Arial"/>
          <w:color w:val="FF0000"/>
        </w:rPr>
      </w:pPr>
    </w:p>
    <w:p w:rsidR="003B2CFF" w:rsidRPr="002A322F" w:rsidRDefault="00F72829" w:rsidP="002A322F">
      <w:pPr>
        <w:jc w:val="both"/>
        <w:rPr>
          <w:rFonts w:ascii="Arial" w:hAnsi="Arial" w:cs="Arial"/>
          <w:b/>
          <w:color w:val="00B050"/>
        </w:rPr>
      </w:pPr>
      <w:r w:rsidRPr="00E75757">
        <w:rPr>
          <w:rFonts w:ascii="Arial" w:hAnsi="Arial" w:cs="Arial"/>
          <w:b/>
          <w:color w:val="00B050"/>
          <w:u w:val="single"/>
        </w:rPr>
        <w:t>HEBDOMADAIRE</w:t>
      </w:r>
      <w:r w:rsidRPr="00E75757">
        <w:rPr>
          <w:rFonts w:ascii="Arial" w:hAnsi="Arial" w:cs="Arial"/>
          <w:b/>
          <w:color w:val="00B050"/>
        </w:rPr>
        <w:t xml:space="preserve"> : </w:t>
      </w:r>
      <w:r w:rsidR="009372C2" w:rsidRPr="00E75757">
        <w:rPr>
          <w:rFonts w:ascii="Arial" w:hAnsi="Arial" w:cs="Arial"/>
          <w:b/>
          <w:color w:val="00B050"/>
        </w:rPr>
        <w:t xml:space="preserve">Le court terme n’est plus en tendance ce qui favorise la </w:t>
      </w:r>
      <w:r w:rsidR="00E75757" w:rsidRPr="00E75757">
        <w:rPr>
          <w:rFonts w:ascii="Arial" w:hAnsi="Arial" w:cs="Arial"/>
          <w:b/>
          <w:color w:val="00B050"/>
        </w:rPr>
        <w:t>stabilisation du marché entre 1.42 et 1.67.</w:t>
      </w:r>
      <w:bookmarkStart w:id="1" w:name="_GoBack"/>
      <w:bookmarkEnd w:id="1"/>
    </w:p>
    <w:p w:rsidR="00BE257A" w:rsidRDefault="00BE257A" w:rsidP="00F72829">
      <w:pPr>
        <w:rPr>
          <w:rFonts w:ascii="Arial" w:hAnsi="Arial" w:cs="Arial"/>
          <w:bCs/>
          <w:color w:val="FF0000"/>
        </w:rPr>
      </w:pPr>
    </w:p>
    <w:p w:rsidR="00F72829" w:rsidRPr="005A327A" w:rsidRDefault="00F72829" w:rsidP="00F72829">
      <w:pPr>
        <w:rPr>
          <w:rFonts w:ascii="Arial" w:hAnsi="Arial" w:cs="Arial"/>
          <w:bCs/>
          <w:color w:val="FF0000"/>
        </w:rPr>
      </w:pPr>
    </w:p>
    <w:p w:rsidR="00F72829" w:rsidRPr="00B805BF" w:rsidRDefault="00F72829" w:rsidP="00F72829">
      <w:pPr>
        <w:jc w:val="both"/>
        <w:rPr>
          <w:rFonts w:ascii="Arial" w:eastAsia="Calibri" w:hAnsi="Arial" w:cs="Arial"/>
          <w:b/>
          <w:sz w:val="28"/>
          <w:szCs w:val="28"/>
          <w:u w:val="single"/>
        </w:rPr>
      </w:pPr>
      <w:r>
        <w:rPr>
          <w:rFonts w:ascii="Arial" w:eastAsia="Calibri" w:hAnsi="Arial" w:cs="Arial"/>
          <w:b/>
          <w:color w:val="FF0000"/>
          <w:sz w:val="22"/>
          <w:szCs w:val="22"/>
        </w:rPr>
        <w:t xml:space="preserve">  </w:t>
      </w:r>
      <w:r w:rsidRPr="00B805BF">
        <w:rPr>
          <w:rFonts w:ascii="Arial" w:eastAsia="Calibri" w:hAnsi="Arial" w:cs="Arial"/>
          <w:b/>
          <w:color w:val="FF0000"/>
          <w:sz w:val="22"/>
          <w:szCs w:val="22"/>
        </w:rPr>
        <w:t xml:space="preserve">                                                    </w:t>
      </w:r>
      <w:r w:rsidRPr="00B805BF">
        <w:rPr>
          <w:rFonts w:ascii="Arial" w:eastAsia="Calibri" w:hAnsi="Arial" w:cs="Arial"/>
          <w:b/>
          <w:sz w:val="28"/>
          <w:szCs w:val="28"/>
          <w:u w:val="single"/>
        </w:rPr>
        <w:t xml:space="preserve">ATTAL JEAN-LUC </w:t>
      </w:r>
    </w:p>
    <w:p w:rsidR="00F72829" w:rsidRDefault="00F72829" w:rsidP="00F72829">
      <w:pPr>
        <w:jc w:val="both"/>
        <w:rPr>
          <w:rFonts w:ascii="Arial" w:eastAsia="Calibri" w:hAnsi="Arial" w:cs="Arial"/>
          <w:i/>
          <w:sz w:val="22"/>
          <w:szCs w:val="22"/>
        </w:rPr>
      </w:pPr>
      <w:r w:rsidRPr="00B805BF">
        <w:rPr>
          <w:rFonts w:ascii="Arial" w:eastAsia="Calibri" w:hAnsi="Arial" w:cs="Arial"/>
          <w:i/>
          <w:sz w:val="22"/>
          <w:szCs w:val="22"/>
        </w:rPr>
        <w:t xml:space="preserve">                       </w:t>
      </w:r>
      <w:r>
        <w:rPr>
          <w:rFonts w:ascii="Arial" w:eastAsia="Calibri" w:hAnsi="Arial" w:cs="Arial"/>
          <w:i/>
          <w:sz w:val="22"/>
          <w:szCs w:val="22"/>
        </w:rPr>
        <w:t xml:space="preserve">                       </w:t>
      </w:r>
      <w:r w:rsidRPr="00B805BF">
        <w:rPr>
          <w:rFonts w:ascii="Arial" w:eastAsia="Calibri" w:hAnsi="Arial" w:cs="Arial"/>
          <w:i/>
          <w:sz w:val="22"/>
          <w:szCs w:val="22"/>
        </w:rPr>
        <w:t>(</w:t>
      </w:r>
      <w:r>
        <w:rPr>
          <w:rFonts w:ascii="Arial" w:eastAsia="Calibri" w:hAnsi="Arial" w:cs="Arial"/>
          <w:i/>
          <w:sz w:val="22"/>
          <w:szCs w:val="22"/>
        </w:rPr>
        <w:t>Définition</w:t>
      </w:r>
      <w:r w:rsidRPr="00B805BF">
        <w:rPr>
          <w:rFonts w:ascii="Arial" w:eastAsia="Calibri" w:hAnsi="Arial" w:cs="Arial"/>
          <w:i/>
          <w:sz w:val="22"/>
          <w:szCs w:val="22"/>
        </w:rPr>
        <w:t xml:space="preserve"> des termes</w:t>
      </w:r>
      <w:r>
        <w:rPr>
          <w:rFonts w:ascii="Arial" w:eastAsia="Calibri" w:hAnsi="Arial" w:cs="Arial"/>
          <w:i/>
          <w:sz w:val="22"/>
          <w:szCs w:val="22"/>
        </w:rPr>
        <w:t xml:space="preserve"> page suivante</w:t>
      </w:r>
      <w:r w:rsidRPr="00B805BF">
        <w:rPr>
          <w:rFonts w:ascii="Arial" w:eastAsia="Calibri" w:hAnsi="Arial" w:cs="Arial"/>
          <w:i/>
          <w:sz w:val="22"/>
          <w:szCs w:val="22"/>
        </w:rPr>
        <w:t>)</w:t>
      </w:r>
    </w:p>
    <w:p w:rsidR="00F72829" w:rsidRDefault="00F72829" w:rsidP="00F72829">
      <w:pPr>
        <w:jc w:val="both"/>
        <w:rPr>
          <w:rFonts w:ascii="Arial" w:eastAsia="Calibri" w:hAnsi="Arial" w:cs="Arial"/>
          <w:i/>
          <w:sz w:val="22"/>
          <w:szCs w:val="22"/>
        </w:rPr>
      </w:pPr>
    </w:p>
    <w:p w:rsidR="00F72829" w:rsidRDefault="00F72829" w:rsidP="00F72829">
      <w:pPr>
        <w:jc w:val="both"/>
        <w:rPr>
          <w:rFonts w:ascii="Arial" w:eastAsia="Calibri" w:hAnsi="Arial" w:cs="Arial"/>
          <w:i/>
          <w:sz w:val="22"/>
          <w:szCs w:val="22"/>
        </w:rPr>
      </w:pPr>
    </w:p>
    <w:p w:rsidR="00F72829" w:rsidRDefault="00F72829" w:rsidP="00F72829">
      <w:pPr>
        <w:jc w:val="both"/>
        <w:rPr>
          <w:rFonts w:ascii="Arial" w:eastAsia="Calibri" w:hAnsi="Arial" w:cs="Arial"/>
          <w:b/>
          <w:i/>
        </w:rPr>
      </w:pPr>
      <w:r>
        <w:rPr>
          <w:rFonts w:ascii="Arial" w:eastAsia="Calibri" w:hAnsi="Arial" w:cs="Arial"/>
          <w:b/>
          <w:i/>
          <w:color w:val="993366"/>
        </w:rPr>
        <w:t>TS (mauve)</w:t>
      </w:r>
      <w:r>
        <w:rPr>
          <w:rFonts w:ascii="Arial" w:eastAsia="Calibri" w:hAnsi="Arial" w:cs="Arial"/>
          <w:b/>
          <w:i/>
        </w:rPr>
        <w:t xml:space="preserve"> =  </w:t>
      </w:r>
      <w:r>
        <w:rPr>
          <w:rFonts w:ascii="Arial" w:eastAsia="Calibri" w:hAnsi="Arial" w:cs="Arial"/>
          <w:b/>
          <w:i/>
          <w:u w:val="single"/>
        </w:rPr>
        <w:t>plus haut + plus bas</w:t>
      </w:r>
      <w:r>
        <w:rPr>
          <w:rFonts w:ascii="Arial" w:eastAsia="Calibri" w:hAnsi="Arial" w:cs="Arial"/>
          <w:b/>
          <w:i/>
        </w:rPr>
        <w:t xml:space="preserve">                    sur les 9 dernières périodes</w:t>
      </w:r>
    </w:p>
    <w:p w:rsidR="00F72829" w:rsidRDefault="00F72829" w:rsidP="00F72829">
      <w:pPr>
        <w:jc w:val="both"/>
        <w:rPr>
          <w:rFonts w:ascii="Arial" w:eastAsia="Calibri" w:hAnsi="Arial" w:cs="Arial"/>
          <w:b/>
          <w:i/>
        </w:rPr>
      </w:pPr>
      <w:r>
        <w:rPr>
          <w:rFonts w:ascii="Arial" w:eastAsia="Calibri" w:hAnsi="Arial" w:cs="Arial"/>
          <w:b/>
          <w:i/>
        </w:rPr>
        <w:t xml:space="preserve">                                   2  </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color w:val="008000"/>
        </w:rPr>
        <w:t>KS (vert)</w:t>
      </w:r>
      <w:r>
        <w:rPr>
          <w:rFonts w:ascii="Arial" w:eastAsia="Calibri" w:hAnsi="Arial" w:cs="Arial"/>
          <w:b/>
          <w:i/>
        </w:rPr>
        <w:t xml:space="preserve"> = </w:t>
      </w:r>
      <w:r>
        <w:rPr>
          <w:rFonts w:ascii="Arial" w:eastAsia="Calibri" w:hAnsi="Arial" w:cs="Arial"/>
          <w:b/>
          <w:i/>
          <w:u w:val="single"/>
        </w:rPr>
        <w:t>plus haut + plus bas</w:t>
      </w:r>
      <w:r>
        <w:rPr>
          <w:rFonts w:ascii="Arial" w:eastAsia="Calibri" w:hAnsi="Arial" w:cs="Arial"/>
          <w:b/>
          <w:i/>
        </w:rPr>
        <w:t xml:space="preserve">                          sur les 26 dernières périodes</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 xml:space="preserve">                                   2  </w:t>
      </w:r>
    </w:p>
    <w:p w:rsidR="00F72829" w:rsidRDefault="00F72829" w:rsidP="00F72829">
      <w:pPr>
        <w:jc w:val="both"/>
        <w:rPr>
          <w:rFonts w:ascii="Arial" w:eastAsia="Calibri" w:hAnsi="Arial" w:cs="Arial"/>
          <w:b/>
          <w:i/>
        </w:rPr>
      </w:pPr>
      <w:r>
        <w:rPr>
          <w:rFonts w:ascii="Arial" w:eastAsia="Calibri" w:hAnsi="Arial" w:cs="Arial"/>
          <w:b/>
          <w:i/>
          <w:color w:val="FF6600"/>
        </w:rPr>
        <w:t>LS (orange)</w:t>
      </w:r>
      <w:r>
        <w:rPr>
          <w:rFonts w:ascii="Arial" w:eastAsia="Calibri" w:hAnsi="Arial" w:cs="Arial"/>
          <w:b/>
          <w:i/>
        </w:rPr>
        <w:t xml:space="preserve"> = clôture                                           décalée de 26 périodes en arrière</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 xml:space="preserve">SSA (bordure du nuage) =   </w:t>
      </w:r>
      <w:r>
        <w:rPr>
          <w:rFonts w:ascii="Arial" w:eastAsia="Calibri" w:hAnsi="Arial" w:cs="Arial"/>
          <w:b/>
          <w:i/>
          <w:u w:val="single"/>
        </w:rPr>
        <w:t>TS + KS</w:t>
      </w:r>
      <w:r>
        <w:rPr>
          <w:rFonts w:ascii="Arial" w:eastAsia="Calibri" w:hAnsi="Arial" w:cs="Arial"/>
          <w:b/>
          <w:i/>
        </w:rPr>
        <w:t xml:space="preserve">                   projetée 26 périodes en avant</w:t>
      </w:r>
    </w:p>
    <w:p w:rsidR="00F72829" w:rsidRDefault="00F72829" w:rsidP="00F72829">
      <w:pPr>
        <w:jc w:val="both"/>
        <w:rPr>
          <w:rFonts w:ascii="Arial" w:eastAsia="Calibri" w:hAnsi="Arial" w:cs="Arial"/>
          <w:b/>
          <w:i/>
        </w:rPr>
      </w:pPr>
      <w:r>
        <w:rPr>
          <w:rFonts w:ascii="Arial" w:eastAsia="Calibri" w:hAnsi="Arial" w:cs="Arial"/>
          <w:b/>
          <w:i/>
        </w:rPr>
        <w:t xml:space="preserve">                                                 2</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u w:val="single"/>
        </w:rPr>
      </w:pPr>
      <w:r>
        <w:rPr>
          <w:rFonts w:ascii="Arial" w:eastAsia="Calibri" w:hAnsi="Arial" w:cs="Arial"/>
          <w:b/>
          <w:i/>
        </w:rPr>
        <w:t xml:space="preserve">SSB (bordure opposée du nuage) = </w:t>
      </w:r>
      <w:r>
        <w:rPr>
          <w:rFonts w:ascii="Arial" w:eastAsia="Calibri" w:hAnsi="Arial" w:cs="Arial"/>
          <w:b/>
          <w:i/>
          <w:u w:val="single"/>
        </w:rPr>
        <w:t>plus haut + plus bas</w:t>
      </w:r>
      <w:r>
        <w:rPr>
          <w:rFonts w:ascii="Arial" w:eastAsia="Calibri" w:hAnsi="Arial" w:cs="Arial"/>
          <w:b/>
          <w:i/>
        </w:rPr>
        <w:t xml:space="preserve">      sur les 52 dernières </w:t>
      </w:r>
    </w:p>
    <w:p w:rsidR="00F72829" w:rsidRDefault="00F72829" w:rsidP="00F72829">
      <w:pPr>
        <w:jc w:val="both"/>
        <w:rPr>
          <w:rFonts w:ascii="Arial" w:eastAsia="Calibri" w:hAnsi="Arial" w:cs="Arial"/>
          <w:b/>
          <w:i/>
        </w:rPr>
      </w:pPr>
      <w:r>
        <w:rPr>
          <w:rFonts w:ascii="Arial" w:eastAsia="Calibri" w:hAnsi="Arial" w:cs="Arial"/>
          <w:b/>
          <w:i/>
        </w:rPr>
        <w:t xml:space="preserve">                                                                        2</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Périodes, projetées 26 périodes en avant</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rPr>
      </w:pPr>
      <w:r>
        <w:rPr>
          <w:rFonts w:ascii="Arial" w:eastAsia="Calibri" w:hAnsi="Arial" w:cs="Arial"/>
          <w:b/>
          <w:u w:val="single"/>
        </w:rPr>
        <w:t>Unités de temps</w:t>
      </w:r>
      <w:r>
        <w:rPr>
          <w:rFonts w:ascii="Arial" w:eastAsia="Calibri" w:hAnsi="Arial" w:cs="Arial"/>
          <w:b/>
        </w:rPr>
        <w:t> : M    Monthly</w:t>
      </w:r>
    </w:p>
    <w:p w:rsidR="00F72829" w:rsidRDefault="00F72829" w:rsidP="00F72829">
      <w:pPr>
        <w:jc w:val="both"/>
        <w:rPr>
          <w:rFonts w:ascii="Arial" w:eastAsia="Calibri" w:hAnsi="Arial" w:cs="Arial"/>
          <w:b/>
        </w:rPr>
      </w:pPr>
    </w:p>
    <w:p w:rsidR="00F72829" w:rsidRDefault="00F72829" w:rsidP="00F72829">
      <w:pPr>
        <w:jc w:val="both"/>
        <w:rPr>
          <w:rFonts w:ascii="Arial" w:eastAsia="Calibri" w:hAnsi="Arial" w:cs="Arial"/>
          <w:b/>
        </w:rPr>
      </w:pPr>
      <w:r>
        <w:rPr>
          <w:rFonts w:ascii="Arial" w:eastAsia="Calibri" w:hAnsi="Arial" w:cs="Arial"/>
          <w:b/>
        </w:rPr>
        <w:t xml:space="preserve">                             W    Weekly</w:t>
      </w:r>
    </w:p>
    <w:p w:rsidR="00F72829" w:rsidRDefault="00F72829" w:rsidP="00F72829">
      <w:pPr>
        <w:jc w:val="both"/>
        <w:rPr>
          <w:rFonts w:ascii="Arial" w:eastAsia="Calibri" w:hAnsi="Arial" w:cs="Arial"/>
          <w:b/>
        </w:rPr>
      </w:pPr>
    </w:p>
    <w:p w:rsidR="00F72829" w:rsidRDefault="00F72829" w:rsidP="00F72829">
      <w:pPr>
        <w:jc w:val="both"/>
        <w:rPr>
          <w:rFonts w:ascii="Arial" w:eastAsia="Calibri" w:hAnsi="Arial" w:cs="Arial"/>
          <w:b/>
        </w:rPr>
      </w:pPr>
      <w:r>
        <w:rPr>
          <w:rFonts w:ascii="Arial" w:eastAsia="Calibri" w:hAnsi="Arial" w:cs="Arial"/>
          <w:b/>
        </w:rPr>
        <w:t xml:space="preserve">                             D     Daily</w:t>
      </w:r>
    </w:p>
    <w:p w:rsidR="00F72829" w:rsidRDefault="00F72829" w:rsidP="00F72829">
      <w:pPr>
        <w:jc w:val="both"/>
        <w:rPr>
          <w:rFonts w:ascii="Arial" w:eastAsia="Calibri" w:hAnsi="Arial" w:cs="Arial"/>
          <w:i/>
          <w:sz w:val="22"/>
          <w:szCs w:val="22"/>
        </w:rPr>
      </w:pPr>
    </w:p>
    <w:p w:rsidR="00F72829" w:rsidRDefault="00F72829" w:rsidP="00F72829">
      <w:pPr>
        <w:jc w:val="both"/>
        <w:rPr>
          <w:rFonts w:ascii="Arial" w:eastAsia="Calibri" w:hAnsi="Arial" w:cs="Arial"/>
          <w:i/>
          <w:sz w:val="22"/>
          <w:szCs w:val="22"/>
        </w:rPr>
      </w:pPr>
    </w:p>
    <w:p w:rsidR="00F72829" w:rsidRPr="00B805BF" w:rsidRDefault="00F72829" w:rsidP="00F72829">
      <w:pPr>
        <w:jc w:val="both"/>
        <w:rPr>
          <w:rFonts w:ascii="Arial" w:eastAsia="Calibri" w:hAnsi="Arial" w:cs="Arial"/>
          <w:i/>
          <w:sz w:val="22"/>
          <w:szCs w:val="22"/>
        </w:rPr>
      </w:pPr>
    </w:p>
    <w:bookmarkEnd w:id="0"/>
    <w:p w:rsidR="00DC295E" w:rsidRPr="00D756C6" w:rsidRDefault="00DC295E">
      <w:pPr>
        <w:rPr>
          <w:rFonts w:ascii="Arial" w:hAnsi="Arial" w:cs="Arial"/>
          <w:sz w:val="20"/>
          <w:szCs w:val="20"/>
        </w:rPr>
      </w:pPr>
    </w:p>
    <w:sectPr w:rsidR="00DC295E" w:rsidRPr="00D756C6" w:rsidSect="0050573E">
      <w:headerReference w:type="default" r:id="rId19"/>
      <w:footerReference w:type="default" r:id="rId20"/>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2EAA" w:rsidRDefault="00632EAA" w:rsidP="00632EAA">
      <w:r>
        <w:separator/>
      </w:r>
    </w:p>
  </w:endnote>
  <w:endnote w:type="continuationSeparator" w:id="0">
    <w:p w:rsidR="00632EAA" w:rsidRDefault="00632EAA"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7964" w:rsidRDefault="00917964">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2EAA" w:rsidRDefault="00632EAA" w:rsidP="00632EAA">
      <w:r>
        <w:separator/>
      </w:r>
    </w:p>
  </w:footnote>
  <w:footnote w:type="continuationSeparator" w:id="0">
    <w:p w:rsidR="00632EAA" w:rsidRDefault="00632EAA" w:rsidP="00632E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52D7" w:rsidRDefault="003952D7">
    <w:pPr>
      <w:pStyle w:val="En-tte"/>
    </w:pPr>
  </w:p>
  <w:p w:rsidR="00352A1E" w:rsidRDefault="00352A1E">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EAA"/>
    <w:rsid w:val="00015DE9"/>
    <w:rsid w:val="00024342"/>
    <w:rsid w:val="0005450A"/>
    <w:rsid w:val="000641C0"/>
    <w:rsid w:val="00093D02"/>
    <w:rsid w:val="0009601D"/>
    <w:rsid w:val="000C5BCC"/>
    <w:rsid w:val="000D21A7"/>
    <w:rsid w:val="000D6642"/>
    <w:rsid w:val="000D7ED2"/>
    <w:rsid w:val="000E65BF"/>
    <w:rsid w:val="00100473"/>
    <w:rsid w:val="00101F48"/>
    <w:rsid w:val="00124CE0"/>
    <w:rsid w:val="0012530F"/>
    <w:rsid w:val="00151611"/>
    <w:rsid w:val="00152726"/>
    <w:rsid w:val="001802ED"/>
    <w:rsid w:val="00181C36"/>
    <w:rsid w:val="001B1120"/>
    <w:rsid w:val="001C0A29"/>
    <w:rsid w:val="001C6728"/>
    <w:rsid w:val="001D21C0"/>
    <w:rsid w:val="001D2CFB"/>
    <w:rsid w:val="00206C2A"/>
    <w:rsid w:val="0021328A"/>
    <w:rsid w:val="00222827"/>
    <w:rsid w:val="00233557"/>
    <w:rsid w:val="0023751E"/>
    <w:rsid w:val="00254989"/>
    <w:rsid w:val="00276D92"/>
    <w:rsid w:val="0027748F"/>
    <w:rsid w:val="002A322F"/>
    <w:rsid w:val="002A3CA4"/>
    <w:rsid w:val="002A63D2"/>
    <w:rsid w:val="002C101E"/>
    <w:rsid w:val="002C2834"/>
    <w:rsid w:val="002E337C"/>
    <w:rsid w:val="002E34FF"/>
    <w:rsid w:val="002E5E89"/>
    <w:rsid w:val="002F6B57"/>
    <w:rsid w:val="0031071E"/>
    <w:rsid w:val="003166BC"/>
    <w:rsid w:val="003228D3"/>
    <w:rsid w:val="00330C78"/>
    <w:rsid w:val="00352A1E"/>
    <w:rsid w:val="00354C96"/>
    <w:rsid w:val="00367239"/>
    <w:rsid w:val="00367599"/>
    <w:rsid w:val="003702C4"/>
    <w:rsid w:val="00377440"/>
    <w:rsid w:val="003952D7"/>
    <w:rsid w:val="00397BA3"/>
    <w:rsid w:val="003B2CFF"/>
    <w:rsid w:val="003E1B3F"/>
    <w:rsid w:val="003F4023"/>
    <w:rsid w:val="003F6F10"/>
    <w:rsid w:val="00401AE1"/>
    <w:rsid w:val="00401F6A"/>
    <w:rsid w:val="004110E2"/>
    <w:rsid w:val="00476700"/>
    <w:rsid w:val="004A7BFF"/>
    <w:rsid w:val="004C107D"/>
    <w:rsid w:val="004C57CF"/>
    <w:rsid w:val="004D02B8"/>
    <w:rsid w:val="004E02D3"/>
    <w:rsid w:val="0050573E"/>
    <w:rsid w:val="005224FA"/>
    <w:rsid w:val="0054379C"/>
    <w:rsid w:val="00545E40"/>
    <w:rsid w:val="0056419E"/>
    <w:rsid w:val="005B781D"/>
    <w:rsid w:val="005C3180"/>
    <w:rsid w:val="005C5E67"/>
    <w:rsid w:val="005D451E"/>
    <w:rsid w:val="005E4948"/>
    <w:rsid w:val="005F7340"/>
    <w:rsid w:val="006048FD"/>
    <w:rsid w:val="0062397C"/>
    <w:rsid w:val="00632EAA"/>
    <w:rsid w:val="00643293"/>
    <w:rsid w:val="00670CF7"/>
    <w:rsid w:val="00676870"/>
    <w:rsid w:val="006871A5"/>
    <w:rsid w:val="0069101B"/>
    <w:rsid w:val="006D6C35"/>
    <w:rsid w:val="00704A64"/>
    <w:rsid w:val="00725CFC"/>
    <w:rsid w:val="007A54EF"/>
    <w:rsid w:val="007C14A5"/>
    <w:rsid w:val="007D4DA3"/>
    <w:rsid w:val="007E3F85"/>
    <w:rsid w:val="007E4A2B"/>
    <w:rsid w:val="0081521A"/>
    <w:rsid w:val="008213B0"/>
    <w:rsid w:val="00841983"/>
    <w:rsid w:val="00841EF7"/>
    <w:rsid w:val="008431B4"/>
    <w:rsid w:val="0085485A"/>
    <w:rsid w:val="008769DF"/>
    <w:rsid w:val="00894BE9"/>
    <w:rsid w:val="008A2B2F"/>
    <w:rsid w:val="008A4E31"/>
    <w:rsid w:val="008C6E2B"/>
    <w:rsid w:val="008D0E1C"/>
    <w:rsid w:val="00900B05"/>
    <w:rsid w:val="009079FA"/>
    <w:rsid w:val="00911680"/>
    <w:rsid w:val="009141EC"/>
    <w:rsid w:val="00917964"/>
    <w:rsid w:val="0092725C"/>
    <w:rsid w:val="009372C2"/>
    <w:rsid w:val="00947D9D"/>
    <w:rsid w:val="0097505A"/>
    <w:rsid w:val="009B7D86"/>
    <w:rsid w:val="009C2A7C"/>
    <w:rsid w:val="009D01D8"/>
    <w:rsid w:val="00A27403"/>
    <w:rsid w:val="00A308B4"/>
    <w:rsid w:val="00A36E33"/>
    <w:rsid w:val="00A3772E"/>
    <w:rsid w:val="00A472AD"/>
    <w:rsid w:val="00A636A6"/>
    <w:rsid w:val="00A64B0D"/>
    <w:rsid w:val="00A901AB"/>
    <w:rsid w:val="00AA5C6E"/>
    <w:rsid w:val="00AC4E3C"/>
    <w:rsid w:val="00AD3EC0"/>
    <w:rsid w:val="00AE44FC"/>
    <w:rsid w:val="00AF6373"/>
    <w:rsid w:val="00B018B5"/>
    <w:rsid w:val="00B06C8C"/>
    <w:rsid w:val="00B10C67"/>
    <w:rsid w:val="00B23C18"/>
    <w:rsid w:val="00B30D14"/>
    <w:rsid w:val="00B35DBD"/>
    <w:rsid w:val="00B41142"/>
    <w:rsid w:val="00B422AB"/>
    <w:rsid w:val="00B5084B"/>
    <w:rsid w:val="00B74B95"/>
    <w:rsid w:val="00BD620D"/>
    <w:rsid w:val="00BE257A"/>
    <w:rsid w:val="00BE6BD9"/>
    <w:rsid w:val="00BE7C61"/>
    <w:rsid w:val="00BF28CE"/>
    <w:rsid w:val="00C0184E"/>
    <w:rsid w:val="00C17FD4"/>
    <w:rsid w:val="00C23D35"/>
    <w:rsid w:val="00C5448E"/>
    <w:rsid w:val="00C606D4"/>
    <w:rsid w:val="00C620BE"/>
    <w:rsid w:val="00C70863"/>
    <w:rsid w:val="00C85349"/>
    <w:rsid w:val="00C92A3F"/>
    <w:rsid w:val="00CA3A8D"/>
    <w:rsid w:val="00CB45A3"/>
    <w:rsid w:val="00CB5FE1"/>
    <w:rsid w:val="00CD06AD"/>
    <w:rsid w:val="00CF7FF8"/>
    <w:rsid w:val="00D24188"/>
    <w:rsid w:val="00D27672"/>
    <w:rsid w:val="00D32D69"/>
    <w:rsid w:val="00D40055"/>
    <w:rsid w:val="00D458DE"/>
    <w:rsid w:val="00D5530C"/>
    <w:rsid w:val="00D756C6"/>
    <w:rsid w:val="00D90986"/>
    <w:rsid w:val="00DA29A7"/>
    <w:rsid w:val="00DA6C8B"/>
    <w:rsid w:val="00DC295E"/>
    <w:rsid w:val="00DC3AA6"/>
    <w:rsid w:val="00DC6E5A"/>
    <w:rsid w:val="00DD26C3"/>
    <w:rsid w:val="00DD5A19"/>
    <w:rsid w:val="00E376A8"/>
    <w:rsid w:val="00E43B0C"/>
    <w:rsid w:val="00E44FD6"/>
    <w:rsid w:val="00E60B59"/>
    <w:rsid w:val="00E73BC8"/>
    <w:rsid w:val="00E743CB"/>
    <w:rsid w:val="00E75757"/>
    <w:rsid w:val="00E803BA"/>
    <w:rsid w:val="00E810A2"/>
    <w:rsid w:val="00ED0482"/>
    <w:rsid w:val="00EE7FC9"/>
    <w:rsid w:val="00F136E1"/>
    <w:rsid w:val="00F21A60"/>
    <w:rsid w:val="00F26BC3"/>
    <w:rsid w:val="00F52598"/>
    <w:rsid w:val="00F72829"/>
    <w:rsid w:val="00F758DE"/>
    <w:rsid w:val="00F82484"/>
    <w:rsid w:val="00F846A0"/>
    <w:rsid w:val="00F944A1"/>
    <w:rsid w:val="00F950A8"/>
    <w:rsid w:val="00FA3742"/>
    <w:rsid w:val="00FA6DF2"/>
    <w:rsid w:val="00FD367A"/>
    <w:rsid w:val="00FE30E6"/>
    <w:rsid w:val="00FF105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661A9DA9"/>
  <w15:docId w15:val="{5A7DA276-166A-47FD-B095-86DFA07D2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758EE7-0EC8-4708-9D7C-73F697F47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576</TotalTime>
  <Pages>10</Pages>
  <Words>1052</Words>
  <Characters>5790</Characters>
  <Application>Microsoft Office Word</Application>
  <DocSecurity>0</DocSecurity>
  <Lines>48</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 Luc</cp:lastModifiedBy>
  <cp:revision>159</cp:revision>
  <cp:lastPrinted>2018-03-12T09:18:00Z</cp:lastPrinted>
  <dcterms:created xsi:type="dcterms:W3CDTF">2018-02-02T13:49:00Z</dcterms:created>
  <dcterms:modified xsi:type="dcterms:W3CDTF">2018-03-12T15:19:00Z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97e4f81-4b1c-4a3a-b237-8636707719dc_Enabled">
    <vt:lpwstr>True</vt:lpwstr>
  </property>
  <property fmtid="{D5CDD505-2E9C-101B-9397-08002B2CF9AE}" pid="3" name="MSIP_Label_797e4f81-4b1c-4a3a-b237-8636707719dc_SiteId">
    <vt:lpwstr>d5bb6d35-8a82-4329-b49a-5030bd6497ab</vt:lpwstr>
  </property>
  <property fmtid="{D5CDD505-2E9C-101B-9397-08002B2CF9AE}" pid="4" name="MSIP_Label_797e4f81-4b1c-4a3a-b237-8636707719dc_Ref">
    <vt:lpwstr>https://api.informationprotection.azure.com/api/d5bb6d35-8a82-4329-b49a-5030bd6497ab</vt:lpwstr>
  </property>
  <property fmtid="{D5CDD505-2E9C-101B-9397-08002B2CF9AE}" pid="5" name="MSIP_Label_797e4f81-4b1c-4a3a-b237-8636707719dc_Owner">
    <vt:lpwstr>jean-luc.attal@am.natixis.com</vt:lpwstr>
  </property>
  <property fmtid="{D5CDD505-2E9C-101B-9397-08002B2CF9AE}" pid="6" name="MSIP_Label_797e4f81-4b1c-4a3a-b237-8636707719dc_SetDate">
    <vt:lpwstr>2018-02-09T14:58:55.9057115+01:00</vt:lpwstr>
  </property>
  <property fmtid="{D5CDD505-2E9C-101B-9397-08002B2CF9AE}" pid="7" name="MSIP_Label_797e4f81-4b1c-4a3a-b237-8636707719dc_Name">
    <vt:lpwstr>C2 - Internal Natixis</vt:lpwstr>
  </property>
  <property fmtid="{D5CDD505-2E9C-101B-9397-08002B2CF9AE}" pid="8" name="MSIP_Label_797e4f81-4b1c-4a3a-b237-8636707719dc_Application">
    <vt:lpwstr>Microsoft Azure Information Protection</vt:lpwstr>
  </property>
  <property fmtid="{D5CDD505-2E9C-101B-9397-08002B2CF9AE}" pid="9" name="MSIP_Label_797e4f81-4b1c-4a3a-b237-8636707719dc_Extended_MSFT_Method">
    <vt:lpwstr>Automatic</vt:lpwstr>
  </property>
  <property fmtid="{D5CDD505-2E9C-101B-9397-08002B2CF9AE}" pid="10" name="Sensitivity">
    <vt:lpwstr>C2 - Internal Natixis</vt:lpwstr>
  </property>
</Properties>
</file>