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2829" w:rsidRDefault="00F72829" w:rsidP="004C107D">
      <w:pPr>
        <w:tabs>
          <w:tab w:val="left" w:pos="3696"/>
        </w:tabs>
        <w:ind w:left="-1417"/>
        <w:rPr>
          <w:rFonts w:ascii="Arial" w:hAnsi="Arial" w:cs="Arial"/>
          <w:b/>
          <w:sz w:val="28"/>
          <w:szCs w:val="28"/>
        </w:rPr>
      </w:pPr>
      <w:r>
        <w:rPr>
          <w:rFonts w:ascii="Arial" w:hAnsi="Arial" w:cs="Arial"/>
          <w:b/>
          <w:sz w:val="28"/>
          <w:szCs w:val="28"/>
        </w:rPr>
        <w:t xml:space="preserve">                   </w:t>
      </w:r>
    </w:p>
    <w:p w:rsidR="00F72829" w:rsidRDefault="00F72829" w:rsidP="00F72829">
      <w:pPr>
        <w:tabs>
          <w:tab w:val="left" w:pos="3696"/>
        </w:tabs>
        <w:rPr>
          <w:noProof/>
        </w:rPr>
      </w:pPr>
    </w:p>
    <w:p w:rsidR="00F72829" w:rsidRDefault="00F72829" w:rsidP="00F72829">
      <w:pPr>
        <w:tabs>
          <w:tab w:val="left" w:pos="3696"/>
        </w:tabs>
        <w:ind w:left="-1134"/>
        <w:rPr>
          <w:noProof/>
        </w:rPr>
      </w:pPr>
    </w:p>
    <w:p w:rsidR="00F72829" w:rsidRDefault="00F72829" w:rsidP="004C107D">
      <w:pPr>
        <w:tabs>
          <w:tab w:val="left" w:pos="3696"/>
        </w:tabs>
        <w:ind w:left="-1304"/>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noProof/>
        </w:rPr>
      </w:pPr>
    </w:p>
    <w:p w:rsidR="00F72829" w:rsidRDefault="00F72829" w:rsidP="00F72829">
      <w:pPr>
        <w:tabs>
          <w:tab w:val="left" w:pos="3696"/>
        </w:tabs>
        <w:ind w:left="-1134"/>
        <w:rPr>
          <w:noProof/>
        </w:rPr>
      </w:pPr>
    </w:p>
    <w:p w:rsidR="00F72829" w:rsidRDefault="00F72829" w:rsidP="00F72829">
      <w:pPr>
        <w:tabs>
          <w:tab w:val="left" w:pos="3696"/>
        </w:tabs>
        <w:ind w:left="-1134"/>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8213B0">
        <w:rPr>
          <w:rFonts w:ascii="Calibri Light" w:hAnsi="Calibri Light" w:cs="Arial"/>
          <w:b/>
          <w:sz w:val="44"/>
          <w:szCs w:val="44"/>
        </w:rPr>
        <w:t>1</w:t>
      </w:r>
      <w:r w:rsidR="000E52E1">
        <w:rPr>
          <w:rFonts w:ascii="Calibri Light" w:hAnsi="Calibri Light" w:cs="Arial"/>
          <w:b/>
          <w:sz w:val="44"/>
          <w:szCs w:val="44"/>
        </w:rPr>
        <w:t>9</w:t>
      </w:r>
      <w:r w:rsidR="00FF1052">
        <w:rPr>
          <w:rFonts w:ascii="Calibri Light" w:hAnsi="Calibri Light" w:cs="Arial"/>
          <w:b/>
          <w:sz w:val="44"/>
          <w:szCs w:val="44"/>
        </w:rPr>
        <w:t xml:space="preserve"> </w:t>
      </w:r>
      <w:r w:rsidR="008213B0">
        <w:rPr>
          <w:rFonts w:ascii="Calibri Light" w:hAnsi="Calibri Light" w:cs="Arial"/>
          <w:b/>
          <w:sz w:val="44"/>
          <w:szCs w:val="44"/>
        </w:rPr>
        <w:t>mars</w:t>
      </w:r>
      <w:r>
        <w:rPr>
          <w:rFonts w:ascii="Calibri Light" w:hAnsi="Calibri Light" w:cs="Arial"/>
          <w:b/>
          <w:sz w:val="44"/>
          <w:szCs w:val="44"/>
        </w:rPr>
        <w:t xml:space="preserve"> 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040AE9" w:rsidRPr="00800AB1" w:rsidRDefault="00040AE9" w:rsidP="00F72829">
      <w:pPr>
        <w:jc w:val="both"/>
        <w:rPr>
          <w:rFonts w:ascii="Arial" w:hAnsi="Arial" w:cs="Arial"/>
          <w:b/>
          <w:sz w:val="22"/>
          <w:szCs w:val="22"/>
        </w:rPr>
      </w:pPr>
    </w:p>
    <w:p w:rsidR="00F72829" w:rsidRPr="00894BE9"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894BE9">
        <w:rPr>
          <w:rFonts w:ascii="Arial" w:hAnsi="Arial" w:cs="Arial"/>
          <w:b/>
          <w:sz w:val="36"/>
          <w:szCs w:val="36"/>
          <w:u w:val="single"/>
        </w:rPr>
        <w:t xml:space="preserve">10 ans Euro </w:t>
      </w:r>
    </w:p>
    <w:p w:rsidR="00F72829" w:rsidRPr="00894BE9" w:rsidRDefault="00F72829" w:rsidP="00F72829">
      <w:pPr>
        <w:autoSpaceDE w:val="0"/>
        <w:jc w:val="both"/>
        <w:rPr>
          <w:rFonts w:ascii="Arial" w:hAnsi="Arial" w:cs="Arial"/>
          <w:b/>
          <w:sz w:val="28"/>
          <w:szCs w:val="28"/>
          <w:u w:val="single"/>
        </w:rPr>
      </w:pPr>
      <w:r w:rsidRPr="00894BE9">
        <w:rPr>
          <w:rFonts w:ascii="Arial" w:hAnsi="Arial" w:cs="Arial"/>
          <w:b/>
          <w:sz w:val="28"/>
          <w:szCs w:val="28"/>
          <w:u w:val="single"/>
        </w:rPr>
        <w:t>Daily</w:t>
      </w:r>
    </w:p>
    <w:p w:rsidR="00F72829" w:rsidRPr="00F26BC3" w:rsidRDefault="00264ECA" w:rsidP="00F72829">
      <w:pPr>
        <w:autoSpaceDE w:val="0"/>
        <w:ind w:left="-737"/>
        <w:jc w:val="both"/>
        <w:rPr>
          <w:rFonts w:ascii="Arial" w:hAnsi="Arial" w:cs="Arial"/>
          <w:b/>
          <w:sz w:val="28"/>
          <w:szCs w:val="28"/>
          <w:u w:val="single"/>
        </w:rPr>
      </w:pPr>
      <w:r>
        <w:rPr>
          <w:rFonts w:ascii="Arial" w:hAnsi="Arial" w:cs="Arial"/>
          <w:b/>
          <w:noProof/>
          <w:sz w:val="28"/>
          <w:szCs w:val="28"/>
          <w:u w:val="single"/>
        </w:rPr>
        <w:drawing>
          <wp:inline distT="0" distB="0" distL="0" distR="0">
            <wp:extent cx="6690360" cy="3825240"/>
            <wp:effectExtent l="0" t="0" r="0" b="3810"/>
            <wp:docPr id="4" name="Image 4" descr="C:\Temp\Bloomberg\temp\bfm4FF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4FF7.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2956" cy="3821007"/>
                    </a:xfrm>
                    <a:prstGeom prst="rect">
                      <a:avLst/>
                    </a:prstGeom>
                    <a:noFill/>
                    <a:ln>
                      <a:noFill/>
                    </a:ln>
                  </pic:spPr>
                </pic:pic>
              </a:graphicData>
            </a:graphic>
          </wp:inline>
        </w:drawing>
      </w:r>
    </w:p>
    <w:p w:rsidR="00F72829" w:rsidRPr="00151611" w:rsidRDefault="00F72829" w:rsidP="00F72829">
      <w:pPr>
        <w:autoSpaceDE w:val="0"/>
        <w:jc w:val="both"/>
        <w:rPr>
          <w:rFonts w:ascii="Arial" w:hAnsi="Arial" w:cs="Arial"/>
          <w:b/>
          <w:sz w:val="28"/>
          <w:szCs w:val="28"/>
          <w:u w:val="single"/>
        </w:rPr>
      </w:pPr>
      <w:r w:rsidRPr="00151611">
        <w:rPr>
          <w:rFonts w:ascii="Arial" w:hAnsi="Arial" w:cs="Arial"/>
          <w:b/>
          <w:sz w:val="28"/>
          <w:szCs w:val="28"/>
          <w:u w:val="single"/>
        </w:rPr>
        <w:t>Weekly</w:t>
      </w:r>
    </w:p>
    <w:p w:rsidR="00F72829" w:rsidRPr="00151611" w:rsidRDefault="00264ECA" w:rsidP="00F72829">
      <w:pPr>
        <w:autoSpaceDE w:val="0"/>
        <w:ind w:left="-850"/>
        <w:jc w:val="both"/>
        <w:rPr>
          <w:rFonts w:ascii="Arial" w:hAnsi="Arial" w:cs="Arial"/>
          <w:b/>
          <w:sz w:val="28"/>
          <w:szCs w:val="28"/>
          <w:u w:val="single"/>
        </w:rPr>
      </w:pPr>
      <w:r>
        <w:rPr>
          <w:rFonts w:ascii="Arial" w:hAnsi="Arial" w:cs="Arial"/>
          <w:b/>
          <w:noProof/>
          <w:sz w:val="28"/>
          <w:szCs w:val="28"/>
          <w:u w:val="single"/>
        </w:rPr>
        <w:drawing>
          <wp:inline distT="0" distB="0" distL="0" distR="0">
            <wp:extent cx="6765290" cy="4185557"/>
            <wp:effectExtent l="0" t="0" r="0" b="5715"/>
            <wp:docPr id="5" name="Image 5" descr="C:\Temp\Bloomberg\temp\bfmCBE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CBEA.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73676" cy="4190745"/>
                    </a:xfrm>
                    <a:prstGeom prst="rect">
                      <a:avLst/>
                    </a:prstGeom>
                    <a:noFill/>
                    <a:ln>
                      <a:noFill/>
                    </a:ln>
                  </pic:spPr>
                </pic:pic>
              </a:graphicData>
            </a:graphic>
          </wp:inline>
        </w:drawing>
      </w:r>
    </w:p>
    <w:p w:rsidR="00040AE9" w:rsidRDefault="00F72829" w:rsidP="00CD4D97">
      <w:pPr>
        <w:autoSpaceDE w:val="0"/>
        <w:jc w:val="both"/>
        <w:rPr>
          <w:rFonts w:ascii="Arial" w:hAnsi="Arial" w:cs="Arial"/>
          <w:b/>
          <w:sz w:val="28"/>
          <w:szCs w:val="28"/>
          <w:u w:val="single"/>
        </w:rPr>
      </w:pPr>
      <w:r w:rsidRPr="00040AE9">
        <w:rPr>
          <w:rFonts w:ascii="Arial" w:hAnsi="Arial" w:cs="Arial"/>
          <w:b/>
          <w:sz w:val="28"/>
          <w:szCs w:val="28"/>
          <w:u w:val="single"/>
        </w:rPr>
        <w:lastRenderedPageBreak/>
        <w:t>Monthly</w:t>
      </w:r>
    </w:p>
    <w:p w:rsidR="0059070C" w:rsidRPr="00151611" w:rsidRDefault="00264ECA" w:rsidP="00CD4D97">
      <w:pPr>
        <w:autoSpaceDE w:val="0"/>
        <w:spacing w:before="100" w:beforeAutospacing="1"/>
        <w:ind w:left="-850"/>
        <w:jc w:val="both"/>
        <w:rPr>
          <w:rFonts w:ascii="Arial" w:hAnsi="Arial" w:cs="Arial"/>
          <w:b/>
          <w:sz w:val="28"/>
          <w:szCs w:val="28"/>
          <w:u w:val="single"/>
        </w:rPr>
      </w:pPr>
      <w:r>
        <w:rPr>
          <w:rFonts w:ascii="Arial" w:hAnsi="Arial" w:cs="Arial"/>
          <w:b/>
          <w:noProof/>
          <w:sz w:val="28"/>
          <w:szCs w:val="28"/>
          <w:u w:val="single"/>
        </w:rPr>
        <w:drawing>
          <wp:inline distT="0" distB="0" distL="0" distR="0" wp14:anchorId="2ECCB36B" wp14:editId="7E0BDF71">
            <wp:extent cx="6284322" cy="2715986"/>
            <wp:effectExtent l="0" t="0" r="2540" b="8255"/>
            <wp:docPr id="6" name="Image 6" descr="C:\Temp\Bloomberg\temp\bfm364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3643.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6379" cy="2721197"/>
                    </a:xfrm>
                    <a:prstGeom prst="rect">
                      <a:avLst/>
                    </a:prstGeom>
                    <a:noFill/>
                    <a:ln>
                      <a:noFill/>
                    </a:ln>
                  </pic:spPr>
                </pic:pic>
              </a:graphicData>
            </a:graphic>
          </wp:inline>
        </w:drawing>
      </w:r>
    </w:p>
    <w:p w:rsidR="00F72829" w:rsidRPr="00E75757" w:rsidRDefault="00F72829" w:rsidP="00F72829">
      <w:pPr>
        <w:jc w:val="both"/>
        <w:rPr>
          <w:rFonts w:ascii="Arial" w:hAnsi="Arial" w:cs="Arial"/>
          <w:b/>
          <w:sz w:val="28"/>
          <w:szCs w:val="28"/>
          <w:u w:val="single"/>
        </w:rPr>
      </w:pPr>
    </w:p>
    <w:p w:rsidR="00CA3A8D" w:rsidRDefault="00F72829" w:rsidP="000E52E1">
      <w:pPr>
        <w:jc w:val="both"/>
        <w:rPr>
          <w:rFonts w:ascii="Tahoma" w:hAnsi="Tahoma" w:cs="Tahoma"/>
        </w:rPr>
      </w:pPr>
      <w:r w:rsidRPr="00894BE9">
        <w:rPr>
          <w:rFonts w:ascii="Arial" w:hAnsi="Arial" w:cs="Arial"/>
          <w:b/>
          <w:bCs/>
        </w:rPr>
        <w:t xml:space="preserve">D : </w:t>
      </w:r>
      <w:r w:rsidR="0059070C">
        <w:rPr>
          <w:rFonts w:ascii="Tahoma" w:hAnsi="Tahoma" w:cs="Tahoma"/>
        </w:rPr>
        <w:t xml:space="preserve">Le taux a poursuivi sa baisse dans son nuage et la LS s’est affranchie du support représenté par sa </w:t>
      </w:r>
      <w:r w:rsidR="00F5391F">
        <w:rPr>
          <w:rFonts w:ascii="Tahoma" w:hAnsi="Tahoma" w:cs="Tahoma"/>
        </w:rPr>
        <w:t>K</w:t>
      </w:r>
      <w:r w:rsidR="0059070C">
        <w:rPr>
          <w:rFonts w:ascii="Tahoma" w:hAnsi="Tahoma" w:cs="Tahoma"/>
        </w:rPr>
        <w:t>S. Au sein d</w:t>
      </w:r>
      <w:r w:rsidR="00AF4A78">
        <w:rPr>
          <w:rFonts w:ascii="Tahoma" w:hAnsi="Tahoma" w:cs="Tahoma"/>
        </w:rPr>
        <w:t>u nuage, le biais est neutre parce que le 10 ans évolue dans sa zone d’équilibre de court terme.</w:t>
      </w:r>
    </w:p>
    <w:p w:rsidR="00AF4A78" w:rsidRDefault="00AF4A78" w:rsidP="000E52E1">
      <w:pPr>
        <w:jc w:val="both"/>
        <w:rPr>
          <w:rFonts w:ascii="Tahoma" w:hAnsi="Tahoma" w:cs="Tahoma"/>
        </w:rPr>
      </w:pPr>
      <w:r>
        <w:rPr>
          <w:rFonts w:ascii="Tahoma" w:hAnsi="Tahoma" w:cs="Tahoma"/>
        </w:rPr>
        <w:t>Le maintien de la LS sous sa KS avantagera la baisse et un retour du 10 ans Euro sur la borne basse de son nuage de 0.54.</w:t>
      </w:r>
    </w:p>
    <w:p w:rsidR="003C03CD" w:rsidRPr="00894BE9" w:rsidRDefault="003C03CD" w:rsidP="000E52E1">
      <w:pPr>
        <w:jc w:val="both"/>
        <w:rPr>
          <w:rFonts w:ascii="Tahoma" w:hAnsi="Tahoma" w:cs="Tahoma"/>
        </w:rPr>
      </w:pPr>
      <w:r>
        <w:rPr>
          <w:rFonts w:ascii="Tahoma" w:hAnsi="Tahoma" w:cs="Tahoma"/>
        </w:rPr>
        <w:t xml:space="preserve">Un début de remise en question du mouvement </w:t>
      </w:r>
      <w:r w:rsidR="00F5391F">
        <w:rPr>
          <w:rFonts w:ascii="Tahoma" w:hAnsi="Tahoma" w:cs="Tahoma"/>
        </w:rPr>
        <w:t xml:space="preserve">globalement </w:t>
      </w:r>
      <w:r>
        <w:rPr>
          <w:rFonts w:ascii="Tahoma" w:hAnsi="Tahoma" w:cs="Tahoma"/>
        </w:rPr>
        <w:t>haussier de court terme passera dans 1</w:t>
      </w:r>
      <w:r w:rsidRPr="003C03CD">
        <w:rPr>
          <w:rFonts w:ascii="Tahoma" w:hAnsi="Tahoma" w:cs="Tahoma"/>
          <w:vertAlign w:val="superscript"/>
        </w:rPr>
        <w:t>er</w:t>
      </w:r>
      <w:r>
        <w:rPr>
          <w:rFonts w:ascii="Tahoma" w:hAnsi="Tahoma" w:cs="Tahoma"/>
        </w:rPr>
        <w:t xml:space="preserve"> temps par une cassure de 0.54. Dans ce cas, le maintien du marché sous cette nouvelle résistance </w:t>
      </w:r>
      <w:r w:rsidR="00855054">
        <w:rPr>
          <w:rFonts w:ascii="Tahoma" w:hAnsi="Tahoma" w:cs="Tahoma"/>
        </w:rPr>
        <w:t>mènera</w:t>
      </w:r>
      <w:r>
        <w:rPr>
          <w:rFonts w:ascii="Tahoma" w:hAnsi="Tahoma" w:cs="Tahoma"/>
        </w:rPr>
        <w:t xml:space="preserve"> la LS sur son support concrétisé par le plat de SSB de 0.39.</w:t>
      </w:r>
    </w:p>
    <w:p w:rsidR="00F72829" w:rsidRPr="00894BE9" w:rsidRDefault="00F72829" w:rsidP="00F72829">
      <w:pPr>
        <w:jc w:val="both"/>
        <w:rPr>
          <w:rFonts w:ascii="Tahoma" w:hAnsi="Tahoma" w:cs="Tahoma"/>
          <w:bCs/>
        </w:rPr>
      </w:pPr>
      <w:r w:rsidRPr="00894BE9">
        <w:rPr>
          <w:rFonts w:ascii="Tahoma" w:hAnsi="Tahoma" w:cs="Tahoma"/>
          <w:bCs/>
        </w:rPr>
        <w:t xml:space="preserve">   </w:t>
      </w:r>
    </w:p>
    <w:p w:rsidR="003C03CD" w:rsidRDefault="00F72829" w:rsidP="008213B0">
      <w:pPr>
        <w:jc w:val="both"/>
        <w:rPr>
          <w:rFonts w:ascii="Tahoma" w:hAnsi="Tahoma" w:cs="Tahoma"/>
        </w:rPr>
      </w:pPr>
      <w:r w:rsidRPr="0085485A">
        <w:rPr>
          <w:rFonts w:ascii="Arial" w:hAnsi="Arial" w:cs="Arial"/>
          <w:b/>
          <w:bCs/>
        </w:rPr>
        <w:t xml:space="preserve">W : </w:t>
      </w:r>
      <w:r w:rsidR="003C03CD">
        <w:rPr>
          <w:rFonts w:ascii="Tahoma" w:hAnsi="Tahoma" w:cs="Tahoma"/>
        </w:rPr>
        <w:t>Le plat de KS sur 0.54 renforce le support Daily matérialisé par la borne basse du nuage.</w:t>
      </w:r>
    </w:p>
    <w:p w:rsidR="003C03CD" w:rsidRDefault="003C03CD" w:rsidP="008213B0">
      <w:pPr>
        <w:jc w:val="both"/>
        <w:rPr>
          <w:rFonts w:ascii="Tahoma" w:hAnsi="Tahoma" w:cs="Tahoma"/>
        </w:rPr>
      </w:pPr>
      <w:r>
        <w:rPr>
          <w:rFonts w:ascii="Tahoma" w:hAnsi="Tahoma" w:cs="Tahoma"/>
        </w:rPr>
        <w:t xml:space="preserve">Un dépassement au cours de la semaine est </w:t>
      </w:r>
      <w:r w:rsidR="00855054">
        <w:rPr>
          <w:rFonts w:ascii="Tahoma" w:hAnsi="Tahoma" w:cs="Tahoma"/>
        </w:rPr>
        <w:t>possible</w:t>
      </w:r>
      <w:r>
        <w:rPr>
          <w:rFonts w:ascii="Tahoma" w:hAnsi="Tahoma" w:cs="Tahoma"/>
        </w:rPr>
        <w:t xml:space="preserve"> mais la </w:t>
      </w:r>
      <w:r w:rsidR="00855054">
        <w:rPr>
          <w:rFonts w:ascii="Tahoma" w:hAnsi="Tahoma" w:cs="Tahoma"/>
        </w:rPr>
        <w:t>clôture</w:t>
      </w:r>
      <w:r>
        <w:rPr>
          <w:rFonts w:ascii="Tahoma" w:hAnsi="Tahoma" w:cs="Tahoma"/>
        </w:rPr>
        <w:t xml:space="preserve"> hebdomadaire devra se faire </w:t>
      </w:r>
      <w:r w:rsidR="00855054">
        <w:rPr>
          <w:rFonts w:ascii="Tahoma" w:hAnsi="Tahoma" w:cs="Tahoma"/>
        </w:rPr>
        <w:t>au-dessus</w:t>
      </w:r>
      <w:r>
        <w:rPr>
          <w:rFonts w:ascii="Tahoma" w:hAnsi="Tahoma" w:cs="Tahoma"/>
        </w:rPr>
        <w:t xml:space="preserve"> de 0.54 pour ne pas invalid</w:t>
      </w:r>
      <w:r w:rsidR="008761B9">
        <w:rPr>
          <w:rFonts w:ascii="Tahoma" w:hAnsi="Tahoma" w:cs="Tahoma"/>
        </w:rPr>
        <w:t>er</w:t>
      </w:r>
      <w:r>
        <w:rPr>
          <w:rFonts w:ascii="Tahoma" w:hAnsi="Tahoma" w:cs="Tahoma"/>
        </w:rPr>
        <w:t xml:space="preserve"> ce support.</w:t>
      </w:r>
    </w:p>
    <w:p w:rsidR="00101F48" w:rsidRDefault="003C03CD" w:rsidP="008213B0">
      <w:pPr>
        <w:jc w:val="both"/>
        <w:rPr>
          <w:rFonts w:ascii="Tahoma" w:hAnsi="Tahoma" w:cs="Tahoma"/>
        </w:rPr>
      </w:pPr>
      <w:r>
        <w:rPr>
          <w:rFonts w:ascii="Tahoma" w:hAnsi="Tahoma" w:cs="Tahoma"/>
        </w:rPr>
        <w:t>En rupture, le marché s’orientera sur son nuage dont le 1</w:t>
      </w:r>
      <w:r w:rsidRPr="003C03CD">
        <w:rPr>
          <w:rFonts w:ascii="Tahoma" w:hAnsi="Tahoma" w:cs="Tahoma"/>
          <w:vertAlign w:val="superscript"/>
        </w:rPr>
        <w:t>er</w:t>
      </w:r>
      <w:r>
        <w:rPr>
          <w:rFonts w:ascii="Tahoma" w:hAnsi="Tahoma" w:cs="Tahoma"/>
        </w:rPr>
        <w:t xml:space="preserve"> support sera la SSA sur 0.40. Auparavant la LS </w:t>
      </w:r>
      <w:r w:rsidR="00855054">
        <w:rPr>
          <w:rFonts w:ascii="Tahoma" w:hAnsi="Tahoma" w:cs="Tahoma"/>
        </w:rPr>
        <w:t>rencontrera</w:t>
      </w:r>
      <w:r>
        <w:rPr>
          <w:rFonts w:ascii="Tahoma" w:hAnsi="Tahoma" w:cs="Tahoma"/>
        </w:rPr>
        <w:t xml:space="preserve"> un obstacle sur 0.48.</w:t>
      </w:r>
    </w:p>
    <w:p w:rsidR="00145281" w:rsidRPr="0085485A" w:rsidRDefault="00855054" w:rsidP="008213B0">
      <w:pPr>
        <w:jc w:val="both"/>
        <w:rPr>
          <w:rFonts w:ascii="Tahoma" w:hAnsi="Tahoma" w:cs="Tahoma"/>
        </w:rPr>
      </w:pPr>
      <w:r>
        <w:rPr>
          <w:rFonts w:ascii="Tahoma" w:hAnsi="Tahoma" w:cs="Tahoma"/>
        </w:rPr>
        <w:t>Au-dessus</w:t>
      </w:r>
      <w:r w:rsidR="00145281">
        <w:rPr>
          <w:rFonts w:ascii="Tahoma" w:hAnsi="Tahoma" w:cs="Tahoma"/>
        </w:rPr>
        <w:t xml:space="preserve"> de 0.54, la TS s’aplatira sur </w:t>
      </w:r>
      <w:r w:rsidR="00776C3E">
        <w:rPr>
          <w:rFonts w:ascii="Tahoma" w:hAnsi="Tahoma" w:cs="Tahoma"/>
        </w:rPr>
        <w:t>0.67 pour former une résistance de moyen terme.</w:t>
      </w:r>
    </w:p>
    <w:p w:rsidR="000D21A7" w:rsidRPr="0085485A" w:rsidRDefault="000D21A7" w:rsidP="00F72829">
      <w:pPr>
        <w:jc w:val="both"/>
        <w:rPr>
          <w:rFonts w:ascii="Tahoma" w:hAnsi="Tahoma" w:cs="Tahoma"/>
        </w:rPr>
      </w:pPr>
    </w:p>
    <w:p w:rsidR="007B6865" w:rsidRPr="00C5412E" w:rsidRDefault="00F72829" w:rsidP="008C6E2B">
      <w:pPr>
        <w:jc w:val="both"/>
        <w:rPr>
          <w:rFonts w:ascii="Tahoma" w:hAnsi="Tahoma" w:cs="Tahoma"/>
        </w:rPr>
      </w:pPr>
      <w:r w:rsidRPr="00EE13D1">
        <w:rPr>
          <w:rFonts w:ascii="Arial" w:hAnsi="Arial" w:cs="Arial"/>
          <w:b/>
        </w:rPr>
        <w:t>M</w:t>
      </w:r>
      <w:r w:rsidR="00DC3AA6" w:rsidRPr="00EE13D1">
        <w:rPr>
          <w:rFonts w:ascii="Arial" w:hAnsi="Arial" w:cs="Arial"/>
          <w:b/>
        </w:rPr>
        <w:t xml:space="preserve"> : </w:t>
      </w:r>
      <w:r w:rsidR="00FD367A" w:rsidRPr="00C5412E">
        <w:rPr>
          <w:rFonts w:ascii="Tahoma" w:hAnsi="Tahoma" w:cs="Tahoma"/>
        </w:rPr>
        <w:t xml:space="preserve">La TS mensuelle du taux </w:t>
      </w:r>
      <w:r w:rsidR="00FE30E6" w:rsidRPr="00C5412E">
        <w:rPr>
          <w:rFonts w:ascii="Tahoma" w:hAnsi="Tahoma" w:cs="Tahoma"/>
        </w:rPr>
        <w:t xml:space="preserve">sur 0.54 </w:t>
      </w:r>
      <w:r w:rsidR="007B6865" w:rsidRPr="00C5412E">
        <w:rPr>
          <w:rFonts w:ascii="Tahoma" w:hAnsi="Tahoma" w:cs="Tahoma"/>
        </w:rPr>
        <w:t>renforce le point évoqué sur le court terme et sur le moyen terme</w:t>
      </w:r>
      <w:r w:rsidR="008761B9">
        <w:rPr>
          <w:rFonts w:ascii="Tahoma" w:hAnsi="Tahoma" w:cs="Tahoma"/>
        </w:rPr>
        <w:t>.</w:t>
      </w:r>
    </w:p>
    <w:p w:rsidR="00EE13D1" w:rsidRPr="00C5412E" w:rsidRDefault="00EE13D1" w:rsidP="008C6E2B">
      <w:pPr>
        <w:jc w:val="both"/>
        <w:rPr>
          <w:rFonts w:ascii="Tahoma" w:hAnsi="Tahoma" w:cs="Tahoma"/>
        </w:rPr>
      </w:pPr>
      <w:r w:rsidRPr="00C5412E">
        <w:rPr>
          <w:rFonts w:ascii="Tahoma" w:hAnsi="Tahoma" w:cs="Tahoma"/>
        </w:rPr>
        <w:t>Mais la hausse ne pourra reprendre qu’</w:t>
      </w:r>
      <w:r w:rsidR="00855054" w:rsidRPr="00C5412E">
        <w:rPr>
          <w:rFonts w:ascii="Tahoma" w:hAnsi="Tahoma" w:cs="Tahoma"/>
        </w:rPr>
        <w:t>après</w:t>
      </w:r>
      <w:r w:rsidRPr="00C5412E">
        <w:rPr>
          <w:rFonts w:ascii="Tahoma" w:hAnsi="Tahoma" w:cs="Tahoma"/>
        </w:rPr>
        <w:t xml:space="preserve"> le dépassement de 0.69 qui représente une résistance au niveau de la LS.</w:t>
      </w:r>
    </w:p>
    <w:p w:rsidR="00F72829" w:rsidRPr="000E52E1" w:rsidRDefault="00F72829" w:rsidP="00F72829">
      <w:pPr>
        <w:jc w:val="both"/>
        <w:rPr>
          <w:rFonts w:ascii="Arial" w:hAnsi="Arial" w:cs="Arial"/>
          <w:b/>
          <w:color w:val="FF0000"/>
        </w:rPr>
      </w:pPr>
    </w:p>
    <w:p w:rsidR="00996367" w:rsidRPr="00C5412E" w:rsidRDefault="00F72829" w:rsidP="00893DED">
      <w:pPr>
        <w:jc w:val="both"/>
        <w:rPr>
          <w:rFonts w:ascii="Arial" w:hAnsi="Arial" w:cs="Arial"/>
          <w:b/>
          <w:color w:val="00B050"/>
        </w:rPr>
      </w:pPr>
      <w:r w:rsidRPr="00C5412E">
        <w:rPr>
          <w:rFonts w:ascii="Arial" w:hAnsi="Arial" w:cs="Arial"/>
          <w:b/>
          <w:color w:val="00B050"/>
          <w:u w:val="single"/>
        </w:rPr>
        <w:t>HEBDOMADAIRE</w:t>
      </w:r>
      <w:r w:rsidRPr="00C5412E">
        <w:rPr>
          <w:rFonts w:ascii="Arial" w:hAnsi="Arial" w:cs="Arial"/>
          <w:b/>
          <w:color w:val="00B050"/>
        </w:rPr>
        <w:t xml:space="preserve"> : </w:t>
      </w:r>
      <w:r w:rsidR="00893DED" w:rsidRPr="00C5412E">
        <w:rPr>
          <w:rFonts w:ascii="Arial" w:hAnsi="Arial" w:cs="Arial"/>
          <w:b/>
          <w:color w:val="00B050"/>
        </w:rPr>
        <w:t xml:space="preserve">0.54 est un support important parce qu’il est visible sur </w:t>
      </w:r>
      <w:r w:rsidR="00C5412E">
        <w:rPr>
          <w:rFonts w:ascii="Arial" w:hAnsi="Arial" w:cs="Arial"/>
          <w:b/>
          <w:color w:val="00B050"/>
        </w:rPr>
        <w:t>les 3</w:t>
      </w:r>
      <w:r w:rsidR="00893DED" w:rsidRPr="00C5412E">
        <w:rPr>
          <w:rFonts w:ascii="Arial" w:hAnsi="Arial" w:cs="Arial"/>
          <w:b/>
          <w:color w:val="00B050"/>
        </w:rPr>
        <w:t xml:space="preserve"> unités de temps.</w:t>
      </w:r>
    </w:p>
    <w:p w:rsidR="000E52E1" w:rsidRPr="00CD4D97" w:rsidRDefault="00996367" w:rsidP="003952D7">
      <w:pPr>
        <w:jc w:val="both"/>
        <w:rPr>
          <w:rFonts w:ascii="Arial" w:hAnsi="Arial" w:cs="Arial"/>
          <w:b/>
          <w:color w:val="00B050"/>
        </w:rPr>
      </w:pPr>
      <w:r w:rsidRPr="00C5412E">
        <w:rPr>
          <w:rFonts w:ascii="Arial" w:hAnsi="Arial" w:cs="Arial"/>
          <w:b/>
          <w:color w:val="00B050"/>
        </w:rPr>
        <w:t>Il représente sur le court terme la partie basse du nuage dans lequel le t</w:t>
      </w:r>
      <w:r w:rsidR="00C5412E">
        <w:rPr>
          <w:rFonts w:ascii="Arial" w:hAnsi="Arial" w:cs="Arial"/>
          <w:b/>
          <w:color w:val="00B050"/>
        </w:rPr>
        <w:t xml:space="preserve">aux est actuellement positionné. La </w:t>
      </w:r>
      <w:r w:rsidR="00855054">
        <w:rPr>
          <w:rFonts w:ascii="Arial" w:hAnsi="Arial" w:cs="Arial"/>
          <w:b/>
          <w:color w:val="00B050"/>
        </w:rPr>
        <w:t>poursuite</w:t>
      </w:r>
      <w:r w:rsidR="00C5412E">
        <w:rPr>
          <w:rFonts w:ascii="Arial" w:hAnsi="Arial" w:cs="Arial"/>
          <w:b/>
          <w:color w:val="00B050"/>
        </w:rPr>
        <w:t xml:space="preserve"> de la baisse restera conditionnée par sa rupture.</w:t>
      </w:r>
    </w:p>
    <w:p w:rsidR="00E60B59" w:rsidRPr="00893DED" w:rsidRDefault="003E1B3F" w:rsidP="003952D7">
      <w:pPr>
        <w:jc w:val="both"/>
        <w:rPr>
          <w:rFonts w:ascii="Arial" w:hAnsi="Arial" w:cs="Arial"/>
          <w:b/>
          <w:bCs/>
          <w:sz w:val="36"/>
          <w:szCs w:val="36"/>
          <w:u w:val="single"/>
        </w:rPr>
      </w:pPr>
      <w:r>
        <w:rPr>
          <w:rFonts w:ascii="Arial" w:hAnsi="Arial" w:cs="Arial"/>
          <w:b/>
          <w:color w:val="FF0000"/>
        </w:rPr>
        <w:lastRenderedPageBreak/>
        <w:t xml:space="preserve">                                          </w:t>
      </w:r>
      <w:r w:rsidRPr="00893DED">
        <w:rPr>
          <w:rFonts w:ascii="Arial" w:hAnsi="Arial" w:cs="Arial"/>
          <w:b/>
          <w:bCs/>
          <w:sz w:val="36"/>
          <w:szCs w:val="36"/>
          <w:u w:val="single"/>
        </w:rPr>
        <w:t>BUND</w:t>
      </w:r>
      <w:r w:rsidR="00E60B59" w:rsidRPr="00893DED">
        <w:rPr>
          <w:rFonts w:ascii="Arial" w:hAnsi="Arial" w:cs="Arial"/>
          <w:b/>
          <w:bCs/>
          <w:sz w:val="36"/>
          <w:szCs w:val="36"/>
          <w:u w:val="single"/>
        </w:rPr>
        <w:t xml:space="preserve">   (week)</w:t>
      </w:r>
    </w:p>
    <w:p w:rsidR="003E1B3F" w:rsidRDefault="003E1B3F" w:rsidP="003952D7">
      <w:pPr>
        <w:jc w:val="both"/>
        <w:rPr>
          <w:rFonts w:ascii="Arial" w:hAnsi="Arial" w:cs="Arial"/>
          <w:b/>
          <w:color w:val="FF0000"/>
        </w:rPr>
      </w:pPr>
    </w:p>
    <w:p w:rsidR="003E1B3F" w:rsidRDefault="006C634F" w:rsidP="003952D7">
      <w:pPr>
        <w:jc w:val="both"/>
        <w:rPr>
          <w:rFonts w:ascii="Arial" w:hAnsi="Arial" w:cs="Arial"/>
          <w:b/>
          <w:color w:val="FF0000"/>
        </w:rPr>
      </w:pPr>
      <w:r>
        <w:rPr>
          <w:noProof/>
        </w:rPr>
        <w:drawing>
          <wp:inline distT="0" distB="0" distL="0" distR="0" wp14:anchorId="57B087D1" wp14:editId="7DC68E2E">
            <wp:extent cx="5731510" cy="5074920"/>
            <wp:effectExtent l="0" t="0" r="254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074920"/>
                    </a:xfrm>
                    <a:prstGeom prst="rect">
                      <a:avLst/>
                    </a:prstGeom>
                  </pic:spPr>
                </pic:pic>
              </a:graphicData>
            </a:graphic>
          </wp:inline>
        </w:drawing>
      </w:r>
    </w:p>
    <w:p w:rsidR="003E1B3F" w:rsidRDefault="003E1B3F" w:rsidP="003952D7">
      <w:pPr>
        <w:jc w:val="both"/>
        <w:rPr>
          <w:rFonts w:ascii="Arial" w:hAnsi="Arial" w:cs="Arial"/>
          <w:b/>
          <w:color w:val="FF0000"/>
        </w:rPr>
      </w:pPr>
    </w:p>
    <w:p w:rsidR="004F49FB" w:rsidRDefault="003E1B3F" w:rsidP="000E52E1">
      <w:pPr>
        <w:jc w:val="both"/>
        <w:rPr>
          <w:rFonts w:ascii="Tahoma" w:hAnsi="Tahoma" w:cs="Tahoma"/>
        </w:rPr>
      </w:pPr>
      <w:r w:rsidRPr="003E1B3F">
        <w:rPr>
          <w:rFonts w:ascii="Tahoma" w:hAnsi="Tahoma" w:cs="Tahoma"/>
        </w:rPr>
        <w:t xml:space="preserve">- </w:t>
      </w:r>
      <w:r w:rsidR="004F49FB">
        <w:rPr>
          <w:rFonts w:ascii="Tahoma" w:hAnsi="Tahoma" w:cs="Tahoma"/>
        </w:rPr>
        <w:t>Après deux semaines d’hésitation, le contrat Bund est reparti à la hausse.</w:t>
      </w:r>
    </w:p>
    <w:p w:rsidR="004F49FB" w:rsidRDefault="004F49FB" w:rsidP="000E52E1">
      <w:pPr>
        <w:jc w:val="both"/>
        <w:rPr>
          <w:rFonts w:ascii="Tahoma" w:hAnsi="Tahoma" w:cs="Tahoma"/>
        </w:rPr>
      </w:pPr>
    </w:p>
    <w:p w:rsidR="00762F69" w:rsidRDefault="004F49FB" w:rsidP="000E52E1">
      <w:pPr>
        <w:jc w:val="both"/>
        <w:rPr>
          <w:rFonts w:ascii="Tahoma" w:hAnsi="Tahoma" w:cs="Tahoma"/>
        </w:rPr>
      </w:pPr>
      <w:r>
        <w:rPr>
          <w:rFonts w:ascii="Tahoma" w:hAnsi="Tahoma" w:cs="Tahoma"/>
        </w:rPr>
        <w:t xml:space="preserve">- </w:t>
      </w:r>
      <w:r w:rsidR="00EC49FD">
        <w:rPr>
          <w:rFonts w:ascii="Tahoma" w:hAnsi="Tahoma" w:cs="Tahoma"/>
        </w:rPr>
        <w:t xml:space="preserve">Cette hausse prolonge le mouvement qui a débuté </w:t>
      </w:r>
      <w:r w:rsidR="00762F69">
        <w:rPr>
          <w:rFonts w:ascii="Tahoma" w:hAnsi="Tahoma" w:cs="Tahoma"/>
        </w:rPr>
        <w:t>en février dernier sur un bas de 154.60.</w:t>
      </w:r>
    </w:p>
    <w:p w:rsidR="00762F69" w:rsidRDefault="00762F69" w:rsidP="000E52E1">
      <w:pPr>
        <w:jc w:val="both"/>
        <w:rPr>
          <w:rFonts w:ascii="Tahoma" w:hAnsi="Tahoma" w:cs="Tahoma"/>
        </w:rPr>
      </w:pPr>
    </w:p>
    <w:p w:rsidR="00041F25" w:rsidRDefault="00762F69" w:rsidP="000E52E1">
      <w:pPr>
        <w:jc w:val="both"/>
        <w:rPr>
          <w:rFonts w:ascii="Tahoma" w:hAnsi="Tahoma" w:cs="Tahoma"/>
        </w:rPr>
      </w:pPr>
      <w:r>
        <w:rPr>
          <w:rFonts w:ascii="Tahoma" w:hAnsi="Tahoma" w:cs="Tahoma"/>
        </w:rPr>
        <w:t xml:space="preserve">- </w:t>
      </w:r>
      <w:r w:rsidR="00041F25">
        <w:rPr>
          <w:rFonts w:ascii="Tahoma" w:hAnsi="Tahoma" w:cs="Tahoma"/>
        </w:rPr>
        <w:t xml:space="preserve">Cours et LS sont positionnés </w:t>
      </w:r>
      <w:r w:rsidR="00B22088">
        <w:rPr>
          <w:rFonts w:ascii="Tahoma" w:hAnsi="Tahoma" w:cs="Tahoma"/>
        </w:rPr>
        <w:t>au-dessus</w:t>
      </w:r>
      <w:r w:rsidR="00041F25">
        <w:rPr>
          <w:rFonts w:ascii="Tahoma" w:hAnsi="Tahoma" w:cs="Tahoma"/>
        </w:rPr>
        <w:t xml:space="preserve"> de leur nuage.</w:t>
      </w:r>
    </w:p>
    <w:p w:rsidR="00041F25" w:rsidRDefault="00041F25" w:rsidP="000E52E1">
      <w:pPr>
        <w:jc w:val="both"/>
        <w:rPr>
          <w:rFonts w:ascii="Tahoma" w:hAnsi="Tahoma" w:cs="Tahoma"/>
        </w:rPr>
      </w:pPr>
    </w:p>
    <w:p w:rsidR="00041F25" w:rsidRDefault="00041F25" w:rsidP="000E52E1">
      <w:pPr>
        <w:jc w:val="both"/>
        <w:rPr>
          <w:rFonts w:ascii="Tahoma" w:hAnsi="Tahoma" w:cs="Tahoma"/>
        </w:rPr>
      </w:pPr>
      <w:r>
        <w:rPr>
          <w:rFonts w:ascii="Tahoma" w:hAnsi="Tahoma" w:cs="Tahoma"/>
        </w:rPr>
        <w:t>- La LS devra s’affranchir de la barrière de prix pour envisager une poursuite de la hausse.</w:t>
      </w:r>
    </w:p>
    <w:p w:rsidR="00041F25" w:rsidRDefault="00041F25" w:rsidP="000E52E1">
      <w:pPr>
        <w:jc w:val="both"/>
        <w:rPr>
          <w:rFonts w:ascii="Tahoma" w:hAnsi="Tahoma" w:cs="Tahoma"/>
        </w:rPr>
      </w:pPr>
    </w:p>
    <w:p w:rsidR="003E1B3F" w:rsidRDefault="00041F25" w:rsidP="000E52E1">
      <w:pPr>
        <w:jc w:val="both"/>
        <w:rPr>
          <w:rFonts w:ascii="Tahoma" w:hAnsi="Tahoma" w:cs="Tahoma"/>
        </w:rPr>
      </w:pPr>
      <w:r>
        <w:rPr>
          <w:rFonts w:ascii="Tahoma" w:hAnsi="Tahoma" w:cs="Tahoma"/>
        </w:rPr>
        <w:t xml:space="preserve">- Le dépassement </w:t>
      </w:r>
      <w:r w:rsidR="008761B9">
        <w:rPr>
          <w:rFonts w:ascii="Tahoma" w:hAnsi="Tahoma" w:cs="Tahoma"/>
        </w:rPr>
        <w:t xml:space="preserve">validé </w:t>
      </w:r>
      <w:r>
        <w:rPr>
          <w:rFonts w:ascii="Tahoma" w:hAnsi="Tahoma" w:cs="Tahoma"/>
        </w:rPr>
        <w:t xml:space="preserve">du plat de KS de </w:t>
      </w:r>
      <w:r w:rsidR="00650C73">
        <w:rPr>
          <w:rFonts w:ascii="Tahoma" w:hAnsi="Tahoma" w:cs="Tahoma"/>
        </w:rPr>
        <w:t>157.86 milite</w:t>
      </w:r>
      <w:r w:rsidR="008761B9">
        <w:rPr>
          <w:rFonts w:ascii="Tahoma" w:hAnsi="Tahoma" w:cs="Tahoma"/>
        </w:rPr>
        <w:t>ra</w:t>
      </w:r>
      <w:r w:rsidR="00650C73">
        <w:rPr>
          <w:rFonts w:ascii="Tahoma" w:hAnsi="Tahoma" w:cs="Tahoma"/>
        </w:rPr>
        <w:t xml:space="preserve"> pour de nouveaux hauts tant que le contrat utilisera cette ancienne résistance en support.</w:t>
      </w:r>
    </w:p>
    <w:p w:rsidR="00650C73" w:rsidRDefault="00650C73" w:rsidP="000E52E1">
      <w:pPr>
        <w:jc w:val="both"/>
        <w:rPr>
          <w:rFonts w:ascii="Tahoma" w:hAnsi="Tahoma" w:cs="Tahoma"/>
        </w:rPr>
      </w:pPr>
    </w:p>
    <w:p w:rsidR="00FD367A" w:rsidRDefault="00650C73" w:rsidP="003952D7">
      <w:pPr>
        <w:jc w:val="both"/>
        <w:rPr>
          <w:rFonts w:ascii="Tahoma" w:hAnsi="Tahoma" w:cs="Tahoma"/>
        </w:rPr>
      </w:pPr>
      <w:r>
        <w:rPr>
          <w:rFonts w:ascii="Tahoma" w:hAnsi="Tahoma" w:cs="Tahoma"/>
        </w:rPr>
        <w:t xml:space="preserve">- Sous 157.86, la cassure du point médian </w:t>
      </w:r>
      <w:r w:rsidR="008761B9">
        <w:rPr>
          <w:rFonts w:ascii="Tahoma" w:hAnsi="Tahoma" w:cs="Tahoma"/>
        </w:rPr>
        <w:t xml:space="preserve">de 157.69 </w:t>
      </w:r>
      <w:r>
        <w:rPr>
          <w:rFonts w:ascii="Tahoma" w:hAnsi="Tahoma" w:cs="Tahoma"/>
        </w:rPr>
        <w:t xml:space="preserve">de la dernière chandelle blanche </w:t>
      </w:r>
      <w:r w:rsidR="007B31F5">
        <w:rPr>
          <w:rFonts w:ascii="Tahoma" w:hAnsi="Tahoma" w:cs="Tahoma"/>
        </w:rPr>
        <w:t>nous servira d’alerte sur un éventuel retour des cours sur la borne basse du nuage de 156.72.</w:t>
      </w:r>
    </w:p>
    <w:p w:rsidR="00E60B59" w:rsidRPr="00893DED" w:rsidRDefault="00B35DBD" w:rsidP="003952D7">
      <w:pPr>
        <w:jc w:val="both"/>
        <w:rPr>
          <w:rFonts w:ascii="Arial" w:hAnsi="Arial" w:cs="Arial"/>
          <w:b/>
          <w:bCs/>
          <w:sz w:val="36"/>
          <w:szCs w:val="36"/>
          <w:u w:val="single"/>
        </w:rPr>
      </w:pPr>
      <w:r>
        <w:rPr>
          <w:rFonts w:ascii="Tahoma" w:hAnsi="Tahoma" w:cs="Tahoma"/>
        </w:rPr>
        <w:lastRenderedPageBreak/>
        <w:t xml:space="preserve">                                       </w:t>
      </w:r>
      <w:r w:rsidRPr="00893DED">
        <w:rPr>
          <w:rFonts w:ascii="Arial" w:hAnsi="Arial" w:cs="Arial"/>
          <w:b/>
          <w:bCs/>
          <w:sz w:val="36"/>
          <w:szCs w:val="36"/>
          <w:u w:val="single"/>
        </w:rPr>
        <w:t>BUND   (day)</w:t>
      </w:r>
    </w:p>
    <w:p w:rsidR="00B35DBD" w:rsidRPr="00893DED" w:rsidRDefault="00B35DBD" w:rsidP="003952D7">
      <w:pPr>
        <w:jc w:val="both"/>
        <w:rPr>
          <w:rFonts w:ascii="Arial" w:hAnsi="Arial" w:cs="Arial"/>
          <w:b/>
          <w:bCs/>
          <w:sz w:val="36"/>
          <w:szCs w:val="36"/>
          <w:u w:val="single"/>
        </w:rPr>
      </w:pPr>
    </w:p>
    <w:p w:rsidR="00B35DBD" w:rsidRPr="003E1B3F" w:rsidRDefault="00817780" w:rsidP="003952D7">
      <w:pPr>
        <w:jc w:val="both"/>
        <w:rPr>
          <w:rFonts w:ascii="Tahoma" w:hAnsi="Tahoma" w:cs="Tahoma"/>
        </w:rPr>
      </w:pPr>
      <w:r>
        <w:rPr>
          <w:noProof/>
        </w:rPr>
        <w:drawing>
          <wp:inline distT="0" distB="0" distL="0" distR="0" wp14:anchorId="04845AAD" wp14:editId="51AD27F0">
            <wp:extent cx="5731510" cy="5074920"/>
            <wp:effectExtent l="0" t="0" r="254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074920"/>
                    </a:xfrm>
                    <a:prstGeom prst="rect">
                      <a:avLst/>
                    </a:prstGeom>
                  </pic:spPr>
                </pic:pic>
              </a:graphicData>
            </a:graphic>
          </wp:inline>
        </w:drawing>
      </w:r>
    </w:p>
    <w:p w:rsidR="00B35DBD" w:rsidRDefault="00B35DBD" w:rsidP="003952D7">
      <w:pPr>
        <w:jc w:val="both"/>
        <w:rPr>
          <w:rFonts w:ascii="Arial" w:hAnsi="Arial" w:cs="Arial"/>
          <w:b/>
          <w:color w:val="FF0000"/>
        </w:rPr>
      </w:pPr>
    </w:p>
    <w:p w:rsidR="00A84247" w:rsidRPr="00A84247" w:rsidRDefault="00A84247" w:rsidP="003952D7">
      <w:pPr>
        <w:jc w:val="both"/>
        <w:rPr>
          <w:rFonts w:ascii="Arial" w:hAnsi="Arial" w:cs="Arial"/>
          <w:b/>
        </w:rPr>
      </w:pPr>
    </w:p>
    <w:p w:rsidR="00B35DBD" w:rsidRDefault="00B35DBD" w:rsidP="003952D7">
      <w:pPr>
        <w:jc w:val="both"/>
        <w:rPr>
          <w:rFonts w:ascii="Arial" w:hAnsi="Arial" w:cs="Arial"/>
          <w:b/>
          <w:color w:val="FF0000"/>
        </w:rPr>
      </w:pPr>
    </w:p>
    <w:p w:rsidR="00100473" w:rsidRDefault="00100473" w:rsidP="000E52E1">
      <w:pPr>
        <w:jc w:val="both"/>
        <w:rPr>
          <w:rFonts w:ascii="Tahoma" w:hAnsi="Tahoma" w:cs="Tahoma"/>
        </w:rPr>
      </w:pPr>
      <w:r w:rsidRPr="004F49FB">
        <w:rPr>
          <w:rFonts w:ascii="Tahoma" w:hAnsi="Tahoma" w:cs="Tahoma"/>
        </w:rPr>
        <w:t xml:space="preserve">- La </w:t>
      </w:r>
      <w:r w:rsidR="00A84247">
        <w:rPr>
          <w:rFonts w:ascii="Tahoma" w:hAnsi="Tahoma" w:cs="Tahoma"/>
        </w:rPr>
        <w:t xml:space="preserve">cassure du plat de SSB de 157.80 est positive. Elle permet de dégager un espace libre </w:t>
      </w:r>
      <w:r w:rsidR="00F7692C">
        <w:rPr>
          <w:rFonts w:ascii="Tahoma" w:hAnsi="Tahoma" w:cs="Tahoma"/>
        </w:rPr>
        <w:t xml:space="preserve">et </w:t>
      </w:r>
      <w:r w:rsidR="00A84247">
        <w:rPr>
          <w:rFonts w:ascii="Tahoma" w:hAnsi="Tahoma" w:cs="Tahoma"/>
        </w:rPr>
        <w:t xml:space="preserve">sans obstacles pour les prix. </w:t>
      </w:r>
    </w:p>
    <w:p w:rsidR="00A84247" w:rsidRDefault="00A84247" w:rsidP="000E52E1">
      <w:pPr>
        <w:jc w:val="both"/>
        <w:rPr>
          <w:rFonts w:ascii="Tahoma" w:hAnsi="Tahoma" w:cs="Tahoma"/>
        </w:rPr>
      </w:pPr>
    </w:p>
    <w:p w:rsidR="00A902E0" w:rsidRDefault="00A84247" w:rsidP="000E52E1">
      <w:pPr>
        <w:jc w:val="both"/>
        <w:rPr>
          <w:rFonts w:ascii="Tahoma" w:hAnsi="Tahoma" w:cs="Tahoma"/>
        </w:rPr>
      </w:pPr>
      <w:r>
        <w:rPr>
          <w:rFonts w:ascii="Tahoma" w:hAnsi="Tahoma" w:cs="Tahoma"/>
        </w:rPr>
        <w:t xml:space="preserve">- Cet espace sera limité dans un premier temps par une zone de résistance </w:t>
      </w:r>
      <w:r w:rsidR="00A902E0">
        <w:rPr>
          <w:rFonts w:ascii="Tahoma" w:hAnsi="Tahoma" w:cs="Tahoma"/>
        </w:rPr>
        <w:t>matérialisée par des plats de SSB au niveau de la LS. Cette zone sera comprise pour l</w:t>
      </w:r>
      <w:r w:rsidR="00F7692C">
        <w:rPr>
          <w:rFonts w:ascii="Tahoma" w:hAnsi="Tahoma" w:cs="Tahoma"/>
        </w:rPr>
        <w:t>a</w:t>
      </w:r>
      <w:r w:rsidR="00A902E0">
        <w:rPr>
          <w:rFonts w:ascii="Tahoma" w:hAnsi="Tahoma" w:cs="Tahoma"/>
        </w:rPr>
        <w:t xml:space="preserve"> semaine entre 159.21 et 159.39.</w:t>
      </w:r>
    </w:p>
    <w:p w:rsidR="00A902E0" w:rsidRDefault="00A902E0" w:rsidP="000E52E1">
      <w:pPr>
        <w:jc w:val="both"/>
        <w:rPr>
          <w:rFonts w:ascii="Tahoma" w:hAnsi="Tahoma" w:cs="Tahoma"/>
        </w:rPr>
      </w:pPr>
    </w:p>
    <w:p w:rsidR="006F7044" w:rsidRDefault="00A902E0" w:rsidP="000E52E1">
      <w:pPr>
        <w:jc w:val="both"/>
        <w:rPr>
          <w:rFonts w:ascii="Tahoma" w:hAnsi="Tahoma" w:cs="Tahoma"/>
        </w:rPr>
      </w:pPr>
      <w:r>
        <w:rPr>
          <w:rFonts w:ascii="Tahoma" w:hAnsi="Tahoma" w:cs="Tahoma"/>
        </w:rPr>
        <w:t xml:space="preserve">- La chandelle de vendredi est proche du doji </w:t>
      </w:r>
      <w:r w:rsidR="00F7692C">
        <w:rPr>
          <w:rFonts w:ascii="Tahoma" w:hAnsi="Tahoma" w:cs="Tahoma"/>
        </w:rPr>
        <w:t>et</w:t>
      </w:r>
      <w:r>
        <w:rPr>
          <w:rFonts w:ascii="Tahoma" w:hAnsi="Tahoma" w:cs="Tahoma"/>
        </w:rPr>
        <w:t xml:space="preserve"> peut déboucher sur une consolidation. L’absence de tendance est confirmée l’orientation horizontale de la TS et de la KS.</w:t>
      </w:r>
    </w:p>
    <w:p w:rsidR="006F7044" w:rsidRDefault="006F7044" w:rsidP="000E52E1">
      <w:pPr>
        <w:jc w:val="both"/>
        <w:rPr>
          <w:rFonts w:ascii="Tahoma" w:hAnsi="Tahoma" w:cs="Tahoma"/>
        </w:rPr>
      </w:pPr>
    </w:p>
    <w:p w:rsidR="00C23D35" w:rsidRPr="00CD4D97" w:rsidRDefault="00F7692C" w:rsidP="003952D7">
      <w:pPr>
        <w:jc w:val="both"/>
        <w:rPr>
          <w:rFonts w:ascii="Tahoma" w:hAnsi="Tahoma" w:cs="Tahoma"/>
        </w:rPr>
      </w:pPr>
      <w:r>
        <w:rPr>
          <w:rFonts w:ascii="Tahoma" w:hAnsi="Tahoma" w:cs="Tahoma"/>
        </w:rPr>
        <w:t>- Chandelier</w:t>
      </w:r>
      <w:r w:rsidR="006F7044">
        <w:rPr>
          <w:rFonts w:ascii="Tahoma" w:hAnsi="Tahoma" w:cs="Tahoma"/>
        </w:rPr>
        <w:t xml:space="preserve"> et nuage nous indique</w:t>
      </w:r>
      <w:r>
        <w:rPr>
          <w:rFonts w:ascii="Tahoma" w:hAnsi="Tahoma" w:cs="Tahoma"/>
        </w:rPr>
        <w:t>nt</w:t>
      </w:r>
      <w:r w:rsidR="006F7044">
        <w:rPr>
          <w:rFonts w:ascii="Tahoma" w:hAnsi="Tahoma" w:cs="Tahoma"/>
        </w:rPr>
        <w:t xml:space="preserve"> que le marché fait une pause. Dans ce contexte, le biais restera favorable à une reprise de la hausse tant que les cours se maintiendront </w:t>
      </w:r>
      <w:r w:rsidR="00B22088">
        <w:rPr>
          <w:rFonts w:ascii="Tahoma" w:hAnsi="Tahoma" w:cs="Tahoma"/>
        </w:rPr>
        <w:t>au-dessus</w:t>
      </w:r>
      <w:r w:rsidR="006F7044">
        <w:rPr>
          <w:rFonts w:ascii="Tahoma" w:hAnsi="Tahoma" w:cs="Tahoma"/>
        </w:rPr>
        <w:t xml:space="preserve"> de 157.80.</w:t>
      </w:r>
    </w:p>
    <w:p w:rsidR="00F72829" w:rsidRPr="004F49FB" w:rsidRDefault="004E02D3" w:rsidP="00F72829">
      <w:pPr>
        <w:jc w:val="both"/>
        <w:rPr>
          <w:rFonts w:ascii="Arial" w:hAnsi="Arial" w:cs="Arial"/>
          <w:b/>
          <w:bCs/>
          <w:sz w:val="36"/>
          <w:szCs w:val="36"/>
          <w:u w:val="single"/>
        </w:rPr>
      </w:pPr>
      <w:r w:rsidRPr="004F49FB">
        <w:rPr>
          <w:rFonts w:ascii="Arial" w:hAnsi="Arial" w:cs="Arial"/>
          <w:b/>
          <w:bCs/>
          <w:sz w:val="28"/>
          <w:szCs w:val="28"/>
        </w:rPr>
        <w:lastRenderedPageBreak/>
        <w:t xml:space="preserve"> </w:t>
      </w:r>
      <w:r w:rsidR="00F72829" w:rsidRPr="004F49FB">
        <w:rPr>
          <w:rFonts w:ascii="Arial" w:hAnsi="Arial" w:cs="Arial"/>
          <w:b/>
          <w:bCs/>
          <w:sz w:val="28"/>
          <w:szCs w:val="28"/>
        </w:rPr>
        <w:t xml:space="preserve">                                      </w:t>
      </w:r>
      <w:r w:rsidR="00F72829" w:rsidRPr="004F49FB">
        <w:rPr>
          <w:rFonts w:ascii="Arial" w:hAnsi="Arial" w:cs="Arial"/>
          <w:b/>
          <w:bCs/>
          <w:sz w:val="36"/>
          <w:szCs w:val="36"/>
          <w:u w:val="single"/>
        </w:rPr>
        <w:t xml:space="preserve">10 ans USA </w:t>
      </w:r>
    </w:p>
    <w:p w:rsidR="00F72829" w:rsidRPr="004F49FB" w:rsidRDefault="00F72829" w:rsidP="00F72829">
      <w:pPr>
        <w:jc w:val="both"/>
        <w:rPr>
          <w:rFonts w:ascii="Arial" w:hAnsi="Arial" w:cs="Arial"/>
          <w:b/>
          <w:bCs/>
          <w:sz w:val="28"/>
          <w:szCs w:val="28"/>
          <w:u w:val="single"/>
        </w:rPr>
      </w:pPr>
      <w:r w:rsidRPr="004F49FB">
        <w:rPr>
          <w:rFonts w:ascii="Arial" w:hAnsi="Arial" w:cs="Arial"/>
          <w:b/>
          <w:bCs/>
          <w:sz w:val="28"/>
          <w:szCs w:val="28"/>
          <w:u w:val="single"/>
        </w:rPr>
        <w:t xml:space="preserve">Daily </w:t>
      </w:r>
    </w:p>
    <w:p w:rsidR="00F72829" w:rsidRPr="004F49FB" w:rsidRDefault="00264ECA" w:rsidP="00F72829">
      <w:pPr>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652260" cy="3929743"/>
            <wp:effectExtent l="0" t="0" r="0" b="0"/>
            <wp:docPr id="7" name="Image 7" descr="C:\Temp\Bloomberg\temp\bfm72F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72F8.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0206" cy="3928530"/>
                    </a:xfrm>
                    <a:prstGeom prst="rect">
                      <a:avLst/>
                    </a:prstGeom>
                    <a:noFill/>
                    <a:ln>
                      <a:noFill/>
                    </a:ln>
                  </pic:spPr>
                </pic:pic>
              </a:graphicData>
            </a:graphic>
          </wp:inline>
        </w:drawing>
      </w:r>
    </w:p>
    <w:p w:rsidR="00F72829" w:rsidRPr="00762F69" w:rsidRDefault="00F72829" w:rsidP="00F72829">
      <w:pPr>
        <w:jc w:val="both"/>
        <w:rPr>
          <w:rFonts w:ascii="Arial" w:hAnsi="Arial" w:cs="Arial"/>
          <w:b/>
          <w:bCs/>
          <w:sz w:val="28"/>
          <w:szCs w:val="28"/>
          <w:u w:val="single"/>
        </w:rPr>
      </w:pPr>
      <w:r w:rsidRPr="004F49FB">
        <w:rPr>
          <w:rFonts w:ascii="Arial" w:hAnsi="Arial" w:cs="Arial"/>
          <w:b/>
          <w:bCs/>
          <w:sz w:val="28"/>
          <w:szCs w:val="28"/>
          <w:u w:val="single"/>
        </w:rPr>
        <w:t>W</w:t>
      </w:r>
      <w:r w:rsidRPr="00762F69">
        <w:rPr>
          <w:rFonts w:ascii="Arial" w:hAnsi="Arial" w:cs="Arial"/>
          <w:b/>
          <w:bCs/>
          <w:sz w:val="28"/>
          <w:szCs w:val="28"/>
          <w:u w:val="single"/>
        </w:rPr>
        <w:t>eekly</w:t>
      </w:r>
    </w:p>
    <w:p w:rsidR="00F72829" w:rsidRPr="00762F69" w:rsidRDefault="00264ECA" w:rsidP="00F72829">
      <w:pPr>
        <w:tabs>
          <w:tab w:val="left" w:pos="4395"/>
        </w:tabs>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66559" cy="4082143"/>
            <wp:effectExtent l="0" t="0" r="0" b="0"/>
            <wp:docPr id="8" name="Image 8" descr="C:\Temp\Bloomberg\temp\bfmDBF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DBFA.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64891" cy="4081137"/>
                    </a:xfrm>
                    <a:prstGeom prst="rect">
                      <a:avLst/>
                    </a:prstGeom>
                    <a:noFill/>
                    <a:ln>
                      <a:noFill/>
                    </a:ln>
                  </pic:spPr>
                </pic:pic>
              </a:graphicData>
            </a:graphic>
          </wp:inline>
        </w:drawing>
      </w:r>
    </w:p>
    <w:p w:rsidR="00F72829" w:rsidRPr="00762F69" w:rsidRDefault="00F72829" w:rsidP="00BE257A">
      <w:pPr>
        <w:jc w:val="both"/>
        <w:rPr>
          <w:rFonts w:ascii="Arial" w:hAnsi="Arial" w:cs="Arial"/>
          <w:b/>
          <w:sz w:val="28"/>
          <w:szCs w:val="28"/>
          <w:u w:val="single"/>
        </w:rPr>
      </w:pPr>
      <w:r w:rsidRPr="00762F69">
        <w:rPr>
          <w:rFonts w:ascii="Arial" w:hAnsi="Arial" w:cs="Arial"/>
          <w:b/>
          <w:sz w:val="28"/>
          <w:szCs w:val="28"/>
          <w:u w:val="single"/>
        </w:rPr>
        <w:lastRenderedPageBreak/>
        <w:t>Monthly</w:t>
      </w:r>
    </w:p>
    <w:p w:rsidR="00A741BF" w:rsidRDefault="00264ECA" w:rsidP="00151611">
      <w:pPr>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620510" cy="3880757"/>
            <wp:effectExtent l="0" t="0" r="8890" b="5715"/>
            <wp:docPr id="9" name="Image 9" descr="C:\Temp\Bloomberg\temp\bfm87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8709.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28017" cy="3885157"/>
                    </a:xfrm>
                    <a:prstGeom prst="rect">
                      <a:avLst/>
                    </a:prstGeom>
                    <a:noFill/>
                    <a:ln>
                      <a:noFill/>
                    </a:ln>
                  </pic:spPr>
                </pic:pic>
              </a:graphicData>
            </a:graphic>
          </wp:inline>
        </w:drawing>
      </w:r>
    </w:p>
    <w:p w:rsidR="00264ECA" w:rsidRPr="00817780" w:rsidRDefault="00264ECA" w:rsidP="00151611">
      <w:pPr>
        <w:ind w:left="-850"/>
        <w:jc w:val="both"/>
        <w:rPr>
          <w:rFonts w:ascii="Arial" w:hAnsi="Arial" w:cs="Arial"/>
          <w:b/>
          <w:bCs/>
          <w:sz w:val="28"/>
          <w:szCs w:val="28"/>
          <w:u w:val="single"/>
        </w:rPr>
      </w:pPr>
    </w:p>
    <w:p w:rsidR="00D452F3" w:rsidRDefault="00CF7FF8" w:rsidP="00E01395">
      <w:pPr>
        <w:jc w:val="both"/>
        <w:rPr>
          <w:rFonts w:ascii="Tahoma" w:hAnsi="Tahoma" w:cs="Tahoma"/>
          <w:bCs/>
        </w:rPr>
      </w:pPr>
      <w:r w:rsidRPr="00F950A8">
        <w:rPr>
          <w:rFonts w:ascii="Arial" w:hAnsi="Arial" w:cs="Arial"/>
          <w:b/>
          <w:bCs/>
        </w:rPr>
        <w:t xml:space="preserve">D : </w:t>
      </w:r>
      <w:r w:rsidR="00BE6BD9">
        <w:rPr>
          <w:rFonts w:ascii="Tahoma" w:hAnsi="Tahoma" w:cs="Tahoma"/>
          <w:bCs/>
        </w:rPr>
        <w:t>L</w:t>
      </w:r>
      <w:r w:rsidR="00A2391D">
        <w:rPr>
          <w:rFonts w:ascii="Tahoma" w:hAnsi="Tahoma" w:cs="Tahoma"/>
          <w:bCs/>
        </w:rPr>
        <w:t xml:space="preserve">e </w:t>
      </w:r>
      <w:r w:rsidR="00E01395">
        <w:rPr>
          <w:rFonts w:ascii="Tahoma" w:hAnsi="Tahoma" w:cs="Tahoma"/>
          <w:bCs/>
        </w:rPr>
        <w:t>marché n’est pas encore parvenu a cassé son support de court terme de 2.80.</w:t>
      </w:r>
    </w:p>
    <w:p w:rsidR="00E01395" w:rsidRDefault="00E01395" w:rsidP="00E01395">
      <w:pPr>
        <w:jc w:val="both"/>
        <w:rPr>
          <w:rFonts w:ascii="Tahoma" w:hAnsi="Tahoma" w:cs="Tahoma"/>
          <w:bCs/>
        </w:rPr>
      </w:pPr>
      <w:r>
        <w:rPr>
          <w:rFonts w:ascii="Tahoma" w:hAnsi="Tahoma" w:cs="Tahoma"/>
          <w:bCs/>
        </w:rPr>
        <w:t>Ce support représente la base d’un triangle de consolidation descendant.</w:t>
      </w:r>
    </w:p>
    <w:p w:rsidR="00E01395" w:rsidRDefault="00E01395" w:rsidP="00E01395">
      <w:pPr>
        <w:jc w:val="both"/>
        <w:rPr>
          <w:rFonts w:ascii="Tahoma" w:hAnsi="Tahoma" w:cs="Tahoma"/>
          <w:bCs/>
        </w:rPr>
      </w:pPr>
      <w:r>
        <w:rPr>
          <w:rFonts w:ascii="Tahoma" w:hAnsi="Tahoma" w:cs="Tahoma"/>
          <w:bCs/>
        </w:rPr>
        <w:t>L’absence de dynamique est concrétisée par une TS qui s’est aplatie. Sans mouvement significatif, la KS se stabilisera sur le niveau actuel de 2.86.</w:t>
      </w:r>
    </w:p>
    <w:p w:rsidR="00E01395" w:rsidRDefault="00E01395" w:rsidP="00E01395">
      <w:pPr>
        <w:jc w:val="both"/>
        <w:rPr>
          <w:rFonts w:ascii="Tahoma" w:hAnsi="Tahoma" w:cs="Tahoma"/>
          <w:bCs/>
        </w:rPr>
      </w:pPr>
      <w:r>
        <w:rPr>
          <w:rFonts w:ascii="Tahoma" w:hAnsi="Tahoma" w:cs="Tahoma"/>
          <w:bCs/>
        </w:rPr>
        <w:t xml:space="preserve">Une sortie de cette zone de </w:t>
      </w:r>
      <w:r w:rsidR="00855054">
        <w:rPr>
          <w:rFonts w:ascii="Tahoma" w:hAnsi="Tahoma" w:cs="Tahoma"/>
          <w:bCs/>
        </w:rPr>
        <w:t>consolidation</w:t>
      </w:r>
      <w:r>
        <w:rPr>
          <w:rFonts w:ascii="Tahoma" w:hAnsi="Tahoma" w:cs="Tahoma"/>
          <w:bCs/>
        </w:rPr>
        <w:t xml:space="preserve"> passera soit par la cassure de 2.80 soit par la rupture de l’oblique baissière du triangle. Dans le 1</w:t>
      </w:r>
      <w:r w:rsidRPr="00E01395">
        <w:rPr>
          <w:rFonts w:ascii="Tahoma" w:hAnsi="Tahoma" w:cs="Tahoma"/>
          <w:bCs/>
          <w:vertAlign w:val="superscript"/>
        </w:rPr>
        <w:t>er</w:t>
      </w:r>
      <w:r>
        <w:rPr>
          <w:rFonts w:ascii="Tahoma" w:hAnsi="Tahoma" w:cs="Tahoma"/>
          <w:bCs/>
        </w:rPr>
        <w:t xml:space="preserve"> cas, le taux sera attiré par son nuage dont la borne haute évoluera</w:t>
      </w:r>
      <w:r w:rsidR="00432974">
        <w:rPr>
          <w:rFonts w:ascii="Tahoma" w:hAnsi="Tahoma" w:cs="Tahoma"/>
          <w:bCs/>
        </w:rPr>
        <w:t xml:space="preserve"> cette semaine entre</w:t>
      </w:r>
      <w:r>
        <w:rPr>
          <w:rFonts w:ascii="Tahoma" w:hAnsi="Tahoma" w:cs="Tahoma"/>
          <w:bCs/>
        </w:rPr>
        <w:t xml:space="preserve"> 2.70 </w:t>
      </w:r>
      <w:r w:rsidR="00432974">
        <w:rPr>
          <w:rFonts w:ascii="Tahoma" w:hAnsi="Tahoma" w:cs="Tahoma"/>
          <w:bCs/>
        </w:rPr>
        <w:t>et</w:t>
      </w:r>
      <w:r>
        <w:rPr>
          <w:rFonts w:ascii="Tahoma" w:hAnsi="Tahoma" w:cs="Tahoma"/>
          <w:bCs/>
        </w:rPr>
        <w:t xml:space="preserve"> 2.75 et la basse entre 2.59 et 2.62. Dans le second cas, le 10 ans devra s’établir </w:t>
      </w:r>
      <w:r w:rsidR="00855054">
        <w:rPr>
          <w:rFonts w:ascii="Tahoma" w:hAnsi="Tahoma" w:cs="Tahoma"/>
          <w:bCs/>
        </w:rPr>
        <w:t>au-dessus</w:t>
      </w:r>
      <w:r>
        <w:rPr>
          <w:rFonts w:ascii="Tahoma" w:hAnsi="Tahoma" w:cs="Tahoma"/>
          <w:bCs/>
        </w:rPr>
        <w:t xml:space="preserve"> des précédents sommets de 2.91 et </w:t>
      </w:r>
      <w:r w:rsidR="00432974">
        <w:rPr>
          <w:rFonts w:ascii="Tahoma" w:hAnsi="Tahoma" w:cs="Tahoma"/>
          <w:bCs/>
        </w:rPr>
        <w:t xml:space="preserve">de </w:t>
      </w:r>
      <w:r>
        <w:rPr>
          <w:rFonts w:ascii="Tahoma" w:hAnsi="Tahoma" w:cs="Tahoma"/>
          <w:bCs/>
        </w:rPr>
        <w:t>2.95.</w:t>
      </w:r>
    </w:p>
    <w:p w:rsidR="00281F6C" w:rsidRPr="00F950A8" w:rsidRDefault="00281F6C" w:rsidP="00E01395">
      <w:pPr>
        <w:jc w:val="both"/>
        <w:rPr>
          <w:rFonts w:ascii="Tahoma" w:hAnsi="Tahoma" w:cs="Tahoma"/>
          <w:bCs/>
        </w:rPr>
      </w:pPr>
      <w:r>
        <w:rPr>
          <w:rFonts w:ascii="Tahoma" w:hAnsi="Tahoma" w:cs="Tahoma"/>
          <w:bCs/>
        </w:rPr>
        <w:t>En théorie, le triangle descendant débouche sur une cassure du support horizontal.</w:t>
      </w:r>
      <w:r w:rsidR="00077732">
        <w:rPr>
          <w:rFonts w:ascii="Tahoma" w:hAnsi="Tahoma" w:cs="Tahoma"/>
          <w:bCs/>
        </w:rPr>
        <w:t xml:space="preserve"> Pour le 10 ans US l’objectif théorique de rupture se situera sur 2.65.</w:t>
      </w:r>
    </w:p>
    <w:p w:rsidR="00CF7FF8" w:rsidRPr="00F950A8" w:rsidRDefault="00CF7FF8" w:rsidP="00CF7FF8">
      <w:pPr>
        <w:jc w:val="both"/>
        <w:rPr>
          <w:rFonts w:ascii="Tahoma" w:hAnsi="Tahoma" w:cs="Tahoma"/>
          <w:bCs/>
        </w:rPr>
      </w:pPr>
      <w:r w:rsidRPr="00F950A8">
        <w:rPr>
          <w:rFonts w:ascii="Tahoma" w:hAnsi="Tahoma" w:cs="Tahoma"/>
          <w:bCs/>
        </w:rPr>
        <w:t xml:space="preserve">  </w:t>
      </w:r>
    </w:p>
    <w:p w:rsidR="001420E9" w:rsidRDefault="00CF7FF8" w:rsidP="00E01395">
      <w:pPr>
        <w:jc w:val="both"/>
        <w:rPr>
          <w:rFonts w:ascii="Tahoma" w:hAnsi="Tahoma" w:cs="Tahoma"/>
          <w:bCs/>
        </w:rPr>
      </w:pPr>
      <w:r w:rsidRPr="00F950A8">
        <w:rPr>
          <w:rFonts w:ascii="Arial" w:hAnsi="Arial" w:cs="Arial"/>
          <w:b/>
          <w:bCs/>
        </w:rPr>
        <w:t xml:space="preserve">W : </w:t>
      </w:r>
      <w:r w:rsidR="00DC3BB3">
        <w:rPr>
          <w:rFonts w:ascii="Tahoma" w:hAnsi="Tahoma" w:cs="Tahoma"/>
          <w:bCs/>
        </w:rPr>
        <w:t xml:space="preserve">L’évolution parallèle </w:t>
      </w:r>
      <w:r w:rsidR="00432974">
        <w:rPr>
          <w:rFonts w:ascii="Tahoma" w:hAnsi="Tahoma" w:cs="Tahoma"/>
          <w:bCs/>
        </w:rPr>
        <w:t xml:space="preserve">et croissante </w:t>
      </w:r>
      <w:r w:rsidR="00DC3BB3">
        <w:rPr>
          <w:rFonts w:ascii="Tahoma" w:hAnsi="Tahoma" w:cs="Tahoma"/>
          <w:bCs/>
        </w:rPr>
        <w:t xml:space="preserve">de la TS et de la KS </w:t>
      </w:r>
      <w:r w:rsidR="001420E9">
        <w:rPr>
          <w:rFonts w:ascii="Tahoma" w:hAnsi="Tahoma" w:cs="Tahoma"/>
          <w:bCs/>
        </w:rPr>
        <w:t>avantage la poursuite de la hausse. Dans ce contexte, une baisse représentera une correction technique dans un mouvement haussier plus général où TS et KS serviront de support.</w:t>
      </w:r>
    </w:p>
    <w:p w:rsidR="00F72829" w:rsidRPr="00432974" w:rsidRDefault="00F72829" w:rsidP="00432974">
      <w:pPr>
        <w:jc w:val="both"/>
        <w:rPr>
          <w:rFonts w:ascii="Tahoma" w:hAnsi="Tahoma" w:cs="Tahoma"/>
          <w:bCs/>
        </w:rPr>
      </w:pPr>
    </w:p>
    <w:p w:rsidR="00C620BE" w:rsidRPr="00077732" w:rsidRDefault="00F72829" w:rsidP="00F72829">
      <w:pPr>
        <w:tabs>
          <w:tab w:val="left" w:pos="5868"/>
        </w:tabs>
        <w:autoSpaceDE w:val="0"/>
        <w:jc w:val="both"/>
        <w:rPr>
          <w:rFonts w:ascii="Tahoma" w:hAnsi="Tahoma" w:cs="Tahoma"/>
        </w:rPr>
      </w:pPr>
      <w:r w:rsidRPr="00077732">
        <w:rPr>
          <w:rFonts w:ascii="Arial" w:hAnsi="Arial" w:cs="Arial"/>
          <w:b/>
          <w:bCs/>
        </w:rPr>
        <w:t>M</w:t>
      </w:r>
      <w:r w:rsidRPr="00077732">
        <w:rPr>
          <w:rFonts w:ascii="Tahoma" w:hAnsi="Tahoma" w:cs="Tahoma"/>
        </w:rPr>
        <w:t xml:space="preserve"> : </w:t>
      </w:r>
      <w:r w:rsidR="00077732" w:rsidRPr="00077732">
        <w:rPr>
          <w:rFonts w:ascii="Tahoma" w:hAnsi="Tahoma" w:cs="Tahoma"/>
        </w:rPr>
        <w:t>Pas de remise en question du mouvement haussier de long terme tant que le plat de nuage de 2.69 servira de support à la LS.</w:t>
      </w:r>
      <w:r w:rsidR="00367239" w:rsidRPr="00077732">
        <w:rPr>
          <w:rFonts w:ascii="Tahoma" w:hAnsi="Tahoma" w:cs="Tahoma"/>
        </w:rPr>
        <w:t xml:space="preserve"> </w:t>
      </w:r>
    </w:p>
    <w:p w:rsidR="00C620BE" w:rsidRDefault="00C620BE" w:rsidP="00F72829">
      <w:pPr>
        <w:tabs>
          <w:tab w:val="left" w:pos="5868"/>
        </w:tabs>
        <w:autoSpaceDE w:val="0"/>
        <w:jc w:val="both"/>
        <w:rPr>
          <w:rFonts w:ascii="Tahoma" w:hAnsi="Tahoma" w:cs="Tahoma"/>
          <w:color w:val="FF0000"/>
        </w:rPr>
      </w:pPr>
    </w:p>
    <w:p w:rsidR="0093766C" w:rsidRPr="000E52E1" w:rsidRDefault="0093766C" w:rsidP="00F72829">
      <w:pPr>
        <w:tabs>
          <w:tab w:val="left" w:pos="5868"/>
        </w:tabs>
        <w:autoSpaceDE w:val="0"/>
        <w:jc w:val="both"/>
        <w:rPr>
          <w:rFonts w:ascii="Arial" w:hAnsi="Arial" w:cs="Arial"/>
          <w:b/>
          <w:bCs/>
          <w:color w:val="FF0000"/>
        </w:rPr>
      </w:pPr>
    </w:p>
    <w:p w:rsidR="00B018B5" w:rsidRPr="00360110" w:rsidRDefault="00F72829" w:rsidP="00077732">
      <w:pPr>
        <w:jc w:val="both"/>
        <w:rPr>
          <w:rFonts w:ascii="Arial" w:hAnsi="Arial" w:cs="Arial"/>
          <w:b/>
          <w:color w:val="00B050"/>
        </w:rPr>
      </w:pPr>
      <w:r w:rsidRPr="00360110">
        <w:rPr>
          <w:rFonts w:ascii="Arial" w:hAnsi="Arial" w:cs="Arial"/>
          <w:b/>
          <w:color w:val="00B050"/>
          <w:u w:val="single"/>
        </w:rPr>
        <w:t>HEBDOMADAIRE</w:t>
      </w:r>
      <w:r w:rsidRPr="00360110">
        <w:rPr>
          <w:rFonts w:ascii="Arial" w:hAnsi="Arial" w:cs="Arial"/>
          <w:b/>
          <w:color w:val="00B050"/>
        </w:rPr>
        <w:t xml:space="preserve"> : </w:t>
      </w:r>
      <w:r w:rsidR="00077732" w:rsidRPr="00360110">
        <w:rPr>
          <w:rFonts w:ascii="Arial" w:hAnsi="Arial" w:cs="Arial"/>
          <w:b/>
          <w:color w:val="00B050"/>
        </w:rPr>
        <w:t>Le marché consolide au sein d’un triangle descendant dont le support se situe sur 2.80 et l’objectif théorique en rupture sur 2.65.</w:t>
      </w:r>
    </w:p>
    <w:p w:rsidR="00D43DAB" w:rsidRPr="00292AF0" w:rsidRDefault="000A4A04" w:rsidP="00BE257A">
      <w:pPr>
        <w:jc w:val="both"/>
        <w:rPr>
          <w:rFonts w:ascii="Arial" w:hAnsi="Arial" w:cs="Arial"/>
          <w:b/>
          <w:color w:val="00B050"/>
        </w:rPr>
      </w:pPr>
      <w:r w:rsidRPr="00360110">
        <w:rPr>
          <w:rFonts w:ascii="Arial" w:hAnsi="Arial" w:cs="Arial"/>
          <w:b/>
          <w:color w:val="00B050"/>
        </w:rPr>
        <w:t>Pour le moment aucun biais n’est avantagé d’autant plus que sur les unités de temps plus longues, il n’y a pas de signes d’affaiblissement de tendance.</w:t>
      </w:r>
      <w:r w:rsidR="00F72829" w:rsidRPr="000D21A7">
        <w:rPr>
          <w:rFonts w:ascii="Arial" w:hAnsi="Arial" w:cs="Arial"/>
          <w:b/>
          <w:bCs/>
          <w:color w:val="FF0000"/>
          <w:sz w:val="28"/>
          <w:szCs w:val="28"/>
        </w:rPr>
        <w:t xml:space="preserve">         </w:t>
      </w:r>
    </w:p>
    <w:p w:rsidR="00D43DAB" w:rsidRPr="00292AF0" w:rsidRDefault="00D43DAB" w:rsidP="00D43DAB">
      <w:pPr>
        <w:jc w:val="both"/>
        <w:rPr>
          <w:rFonts w:ascii="Arial" w:hAnsi="Arial" w:cs="Arial"/>
          <w:b/>
          <w:bCs/>
          <w:sz w:val="36"/>
          <w:szCs w:val="36"/>
          <w:u w:val="single"/>
        </w:rPr>
      </w:pPr>
      <w:r w:rsidRPr="00077732">
        <w:rPr>
          <w:rFonts w:ascii="Arial" w:hAnsi="Arial" w:cs="Arial"/>
          <w:b/>
          <w:bCs/>
          <w:sz w:val="36"/>
          <w:szCs w:val="36"/>
        </w:rPr>
        <w:lastRenderedPageBreak/>
        <w:t xml:space="preserve">     </w:t>
      </w:r>
      <w:r w:rsidR="00292AF0">
        <w:rPr>
          <w:rFonts w:ascii="Arial" w:hAnsi="Arial" w:cs="Arial"/>
          <w:b/>
          <w:bCs/>
          <w:sz w:val="36"/>
          <w:szCs w:val="36"/>
        </w:rPr>
        <w:t xml:space="preserve">                       </w:t>
      </w:r>
      <w:r w:rsidRPr="00077732">
        <w:rPr>
          <w:rFonts w:ascii="Arial" w:hAnsi="Arial" w:cs="Arial"/>
          <w:b/>
          <w:bCs/>
          <w:sz w:val="36"/>
          <w:szCs w:val="36"/>
        </w:rPr>
        <w:t xml:space="preserve"> </w:t>
      </w:r>
      <w:r w:rsidRPr="00292AF0">
        <w:rPr>
          <w:rFonts w:ascii="Arial" w:hAnsi="Arial" w:cs="Arial"/>
          <w:b/>
          <w:bCs/>
          <w:sz w:val="36"/>
          <w:szCs w:val="36"/>
          <w:u w:val="single"/>
        </w:rPr>
        <w:t xml:space="preserve">10 ans UK </w:t>
      </w:r>
    </w:p>
    <w:p w:rsidR="00D43DAB" w:rsidRPr="00292AF0" w:rsidRDefault="00D43DAB" w:rsidP="00D43DAB">
      <w:pPr>
        <w:jc w:val="both"/>
        <w:rPr>
          <w:rFonts w:ascii="Arial" w:hAnsi="Arial" w:cs="Arial"/>
          <w:b/>
          <w:bCs/>
          <w:sz w:val="28"/>
          <w:szCs w:val="28"/>
          <w:u w:val="single"/>
        </w:rPr>
      </w:pPr>
      <w:r w:rsidRPr="00292AF0">
        <w:rPr>
          <w:rFonts w:ascii="Arial" w:hAnsi="Arial" w:cs="Arial"/>
          <w:b/>
          <w:bCs/>
          <w:sz w:val="28"/>
          <w:szCs w:val="28"/>
          <w:u w:val="single"/>
        </w:rPr>
        <w:t xml:space="preserve">Daily </w:t>
      </w:r>
    </w:p>
    <w:p w:rsidR="00D43DAB" w:rsidRPr="00292AF0" w:rsidRDefault="00264ECA" w:rsidP="00D43DAB">
      <w:pPr>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43700" cy="3916680"/>
            <wp:effectExtent l="0" t="0" r="0" b="7620"/>
            <wp:docPr id="10" name="Image 10" descr="C:\Temp\Bloomberg\temp\bfm232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232A.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36237" cy="3912346"/>
                    </a:xfrm>
                    <a:prstGeom prst="rect">
                      <a:avLst/>
                    </a:prstGeom>
                    <a:noFill/>
                    <a:ln>
                      <a:noFill/>
                    </a:ln>
                  </pic:spPr>
                </pic:pic>
              </a:graphicData>
            </a:graphic>
          </wp:inline>
        </w:drawing>
      </w:r>
    </w:p>
    <w:p w:rsidR="00D43DAB" w:rsidRPr="00292AF0" w:rsidRDefault="00D43DAB" w:rsidP="00D43DAB">
      <w:pPr>
        <w:jc w:val="both"/>
        <w:rPr>
          <w:rFonts w:ascii="Arial" w:hAnsi="Arial" w:cs="Arial"/>
          <w:b/>
          <w:bCs/>
          <w:sz w:val="28"/>
          <w:szCs w:val="28"/>
          <w:u w:val="single"/>
        </w:rPr>
      </w:pPr>
      <w:r w:rsidRPr="00292AF0">
        <w:rPr>
          <w:rFonts w:ascii="Arial" w:hAnsi="Arial" w:cs="Arial"/>
          <w:b/>
          <w:bCs/>
          <w:sz w:val="28"/>
          <w:szCs w:val="28"/>
          <w:u w:val="single"/>
        </w:rPr>
        <w:t>Weekly</w:t>
      </w:r>
    </w:p>
    <w:p w:rsidR="00D43DAB" w:rsidRPr="00292AF0" w:rsidRDefault="00264ECA" w:rsidP="00D43DAB">
      <w:pPr>
        <w:tabs>
          <w:tab w:val="left" w:pos="4395"/>
        </w:tabs>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81800" cy="4135001"/>
            <wp:effectExtent l="0" t="0" r="0" b="0"/>
            <wp:docPr id="11" name="Image 11" descr="C:\Temp\Bloomberg\temp\bfm910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Temp\Bloomberg\temp\bfm910A.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74295" cy="4130425"/>
                    </a:xfrm>
                    <a:prstGeom prst="rect">
                      <a:avLst/>
                    </a:prstGeom>
                    <a:noFill/>
                    <a:ln>
                      <a:noFill/>
                    </a:ln>
                  </pic:spPr>
                </pic:pic>
              </a:graphicData>
            </a:graphic>
          </wp:inline>
        </w:drawing>
      </w:r>
    </w:p>
    <w:p w:rsidR="00D43DAB" w:rsidRPr="00292AF0" w:rsidRDefault="00D43DAB" w:rsidP="00D43DAB">
      <w:pPr>
        <w:jc w:val="both"/>
        <w:rPr>
          <w:rFonts w:ascii="Arial" w:hAnsi="Arial" w:cs="Arial"/>
          <w:b/>
          <w:sz w:val="28"/>
          <w:szCs w:val="28"/>
          <w:u w:val="single"/>
        </w:rPr>
      </w:pPr>
      <w:r w:rsidRPr="00292AF0">
        <w:rPr>
          <w:rFonts w:ascii="Arial" w:hAnsi="Arial" w:cs="Arial"/>
          <w:b/>
          <w:sz w:val="28"/>
          <w:szCs w:val="28"/>
          <w:u w:val="single"/>
        </w:rPr>
        <w:lastRenderedPageBreak/>
        <w:t>Monthly</w:t>
      </w:r>
    </w:p>
    <w:p w:rsidR="00264ECA" w:rsidRPr="00292AF0" w:rsidRDefault="00264ECA" w:rsidP="00D43DAB">
      <w:pPr>
        <w:jc w:val="both"/>
        <w:rPr>
          <w:rFonts w:ascii="Arial" w:hAnsi="Arial" w:cs="Arial"/>
          <w:b/>
          <w:sz w:val="28"/>
          <w:szCs w:val="28"/>
          <w:u w:val="single"/>
        </w:rPr>
      </w:pPr>
    </w:p>
    <w:p w:rsidR="00292AF0" w:rsidRDefault="00264ECA" w:rsidP="00292AF0">
      <w:pPr>
        <w:ind w:left="-850"/>
        <w:jc w:val="both"/>
        <w:rPr>
          <w:rFonts w:ascii="Arial" w:hAnsi="Arial" w:cs="Arial"/>
          <w:b/>
          <w:bCs/>
        </w:rPr>
      </w:pPr>
      <w:r>
        <w:rPr>
          <w:rFonts w:ascii="Arial" w:hAnsi="Arial" w:cs="Arial"/>
          <w:b/>
          <w:bCs/>
          <w:noProof/>
          <w:sz w:val="28"/>
          <w:szCs w:val="28"/>
          <w:u w:val="single"/>
        </w:rPr>
        <w:drawing>
          <wp:inline distT="0" distB="0" distL="0" distR="0">
            <wp:extent cx="6689090" cy="3265715"/>
            <wp:effectExtent l="0" t="0" r="0" b="0"/>
            <wp:docPr id="12" name="Image 12" descr="C:\Temp\Bloomberg\temp\bfm11A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emp\Bloomberg\temp\bfm11A1.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90204" cy="3266259"/>
                    </a:xfrm>
                    <a:prstGeom prst="rect">
                      <a:avLst/>
                    </a:prstGeom>
                    <a:noFill/>
                    <a:ln>
                      <a:noFill/>
                    </a:ln>
                  </pic:spPr>
                </pic:pic>
              </a:graphicData>
            </a:graphic>
          </wp:inline>
        </w:drawing>
      </w:r>
    </w:p>
    <w:p w:rsidR="00292AF0" w:rsidRDefault="00292AF0" w:rsidP="00292AF0">
      <w:pPr>
        <w:ind w:left="-850"/>
        <w:jc w:val="both"/>
        <w:rPr>
          <w:rFonts w:ascii="Arial" w:hAnsi="Arial" w:cs="Arial"/>
          <w:b/>
          <w:bCs/>
        </w:rPr>
      </w:pPr>
    </w:p>
    <w:p w:rsidR="00D43DAB" w:rsidRDefault="00D43DAB" w:rsidP="00292AF0">
      <w:pPr>
        <w:jc w:val="both"/>
        <w:rPr>
          <w:rFonts w:ascii="Tahoma" w:hAnsi="Tahoma" w:cs="Tahoma"/>
          <w:bCs/>
        </w:rPr>
      </w:pPr>
      <w:r w:rsidRPr="00F950A8">
        <w:rPr>
          <w:rFonts w:ascii="Arial" w:hAnsi="Arial" w:cs="Arial"/>
          <w:b/>
          <w:bCs/>
        </w:rPr>
        <w:t xml:space="preserve">D : </w:t>
      </w:r>
      <w:r>
        <w:rPr>
          <w:rFonts w:ascii="Tahoma" w:hAnsi="Tahoma" w:cs="Tahoma"/>
          <w:bCs/>
        </w:rPr>
        <w:t>Le 10 ans UK est revenu dans sa zone neutre matérialisée par son nuage. La borne basse du nuage se situera sur 1.39 jusqu’à mercredi puis terminera la semaine sur 1.41.</w:t>
      </w:r>
    </w:p>
    <w:p w:rsidR="00D43DAB" w:rsidRDefault="00D43DAB" w:rsidP="00D43DAB">
      <w:pPr>
        <w:jc w:val="both"/>
        <w:rPr>
          <w:rFonts w:ascii="Tahoma" w:hAnsi="Tahoma" w:cs="Tahoma"/>
          <w:bCs/>
        </w:rPr>
      </w:pPr>
      <w:r>
        <w:rPr>
          <w:rFonts w:ascii="Tahoma" w:hAnsi="Tahoma" w:cs="Tahoma"/>
          <w:bCs/>
        </w:rPr>
        <w:t>Pour envisager un test de la SSB (borne basse du nuage), la LS devra s’établir dans un premier temps sous sa KS située sur 1.43 en début de semaine et qui progressera par la suite.</w:t>
      </w:r>
    </w:p>
    <w:p w:rsidR="00D43DAB" w:rsidRDefault="00D43DAB" w:rsidP="00D43DAB">
      <w:pPr>
        <w:jc w:val="both"/>
        <w:rPr>
          <w:rFonts w:ascii="Tahoma" w:hAnsi="Tahoma" w:cs="Tahoma"/>
          <w:bCs/>
        </w:rPr>
      </w:pPr>
      <w:r>
        <w:rPr>
          <w:rFonts w:ascii="Tahoma" w:hAnsi="Tahoma" w:cs="Tahoma"/>
          <w:bCs/>
        </w:rPr>
        <w:t>La neutralité dominera tant que le taux évoluera entre sa SSB (1.39-1.41) et son plat de KS de 1.55.</w:t>
      </w:r>
    </w:p>
    <w:p w:rsidR="00D43DAB" w:rsidRDefault="00D43DAB" w:rsidP="00D43DAB">
      <w:pPr>
        <w:jc w:val="both"/>
        <w:rPr>
          <w:rFonts w:ascii="Tahoma" w:hAnsi="Tahoma" w:cs="Tahoma"/>
          <w:bCs/>
        </w:rPr>
      </w:pPr>
      <w:r>
        <w:rPr>
          <w:rFonts w:ascii="Tahoma" w:hAnsi="Tahoma" w:cs="Tahoma"/>
          <w:bCs/>
        </w:rPr>
        <w:t>En cassure de 1.39, l’espace libre permettra à la LS de revenir sur son support situé sur 1.25.</w:t>
      </w:r>
    </w:p>
    <w:p w:rsidR="00D43DAB" w:rsidRPr="00F950A8" w:rsidRDefault="00D43DAB" w:rsidP="00D43DAB">
      <w:pPr>
        <w:jc w:val="both"/>
        <w:rPr>
          <w:rFonts w:ascii="Tahoma" w:hAnsi="Tahoma" w:cs="Tahoma"/>
          <w:bCs/>
        </w:rPr>
      </w:pPr>
      <w:r>
        <w:rPr>
          <w:rFonts w:ascii="Tahoma" w:hAnsi="Tahoma" w:cs="Tahoma"/>
          <w:bCs/>
        </w:rPr>
        <w:t xml:space="preserve">Pas de changement de contexte tant que 1.25 ne sera pas </w:t>
      </w:r>
      <w:r w:rsidR="001F0E5F">
        <w:rPr>
          <w:rFonts w:ascii="Tahoma" w:hAnsi="Tahoma" w:cs="Tahoma"/>
          <w:bCs/>
        </w:rPr>
        <w:t>c</w:t>
      </w:r>
      <w:r>
        <w:rPr>
          <w:rFonts w:ascii="Tahoma" w:hAnsi="Tahoma" w:cs="Tahoma"/>
          <w:bCs/>
        </w:rPr>
        <w:t xml:space="preserve">assé. </w:t>
      </w:r>
    </w:p>
    <w:p w:rsidR="00D43DAB" w:rsidRPr="00F950A8" w:rsidRDefault="00D43DAB" w:rsidP="00D43DAB">
      <w:pPr>
        <w:jc w:val="both"/>
        <w:rPr>
          <w:rFonts w:ascii="Tahoma" w:hAnsi="Tahoma" w:cs="Tahoma"/>
          <w:bCs/>
        </w:rPr>
      </w:pPr>
      <w:r w:rsidRPr="00F950A8">
        <w:rPr>
          <w:rFonts w:ascii="Tahoma" w:hAnsi="Tahoma" w:cs="Tahoma"/>
          <w:bCs/>
        </w:rPr>
        <w:t xml:space="preserve">  </w:t>
      </w:r>
    </w:p>
    <w:p w:rsidR="00D43DAB" w:rsidRDefault="00D43DAB" w:rsidP="00D43DAB">
      <w:pPr>
        <w:jc w:val="both"/>
        <w:rPr>
          <w:rFonts w:ascii="Tahoma" w:hAnsi="Tahoma" w:cs="Tahoma"/>
          <w:bCs/>
        </w:rPr>
      </w:pPr>
      <w:r w:rsidRPr="00F950A8">
        <w:rPr>
          <w:rFonts w:ascii="Arial" w:hAnsi="Arial" w:cs="Arial"/>
          <w:b/>
          <w:bCs/>
        </w:rPr>
        <w:t xml:space="preserve">W : </w:t>
      </w:r>
      <w:r>
        <w:rPr>
          <w:rFonts w:ascii="Tahoma" w:hAnsi="Tahoma" w:cs="Tahoma"/>
          <w:bCs/>
        </w:rPr>
        <w:t>Sur le moyen terme, la KS se stabilisera sur 1.41 et servira de support au marché. La TS reste orientée à la hausse et ne valide pas un retournement baissier. Le marché est encore loin d’un croisement TS/KS, 1</w:t>
      </w:r>
      <w:r w:rsidRPr="00347D77">
        <w:rPr>
          <w:rFonts w:ascii="Tahoma" w:hAnsi="Tahoma" w:cs="Tahoma"/>
          <w:bCs/>
          <w:vertAlign w:val="superscript"/>
        </w:rPr>
        <w:t>er</w:t>
      </w:r>
      <w:r>
        <w:rPr>
          <w:rFonts w:ascii="Tahoma" w:hAnsi="Tahoma" w:cs="Tahoma"/>
          <w:bCs/>
        </w:rPr>
        <w:t xml:space="preserve"> signal d’un affaiblissement du mouvement haussier. </w:t>
      </w:r>
      <w:r w:rsidR="006D7DCD">
        <w:rPr>
          <w:rFonts w:ascii="Tahoma" w:hAnsi="Tahoma" w:cs="Tahoma"/>
          <w:bCs/>
        </w:rPr>
        <w:t>Seule u</w:t>
      </w:r>
      <w:r>
        <w:rPr>
          <w:rFonts w:ascii="Tahoma" w:hAnsi="Tahoma" w:cs="Tahoma"/>
          <w:bCs/>
        </w:rPr>
        <w:t>ne baisse sur 1.13 le permettra.</w:t>
      </w:r>
    </w:p>
    <w:p w:rsidR="00D43DAB" w:rsidRPr="00F950A8" w:rsidRDefault="00D43DAB" w:rsidP="00D43DAB">
      <w:pPr>
        <w:jc w:val="both"/>
        <w:rPr>
          <w:rFonts w:ascii="Tahoma" w:hAnsi="Tahoma" w:cs="Tahoma"/>
          <w:bCs/>
        </w:rPr>
      </w:pPr>
      <w:r>
        <w:rPr>
          <w:rFonts w:ascii="Tahoma" w:hAnsi="Tahoma" w:cs="Tahoma"/>
          <w:bCs/>
        </w:rPr>
        <w:t>Quoi qu’il en soit, le potentiel de baisse du 10 ans UK en cassure de 1.41 devrait être limité au support représenté par le plat de nuage de 1.22.</w:t>
      </w:r>
    </w:p>
    <w:p w:rsidR="00D43DAB" w:rsidRPr="00F950A8" w:rsidRDefault="00D43DAB" w:rsidP="00D43DAB">
      <w:pPr>
        <w:tabs>
          <w:tab w:val="left" w:pos="5868"/>
        </w:tabs>
        <w:autoSpaceDE w:val="0"/>
        <w:jc w:val="both"/>
        <w:rPr>
          <w:rFonts w:ascii="Tahoma" w:hAnsi="Tahoma" w:cs="Tahoma"/>
        </w:rPr>
      </w:pPr>
    </w:p>
    <w:p w:rsidR="005530C2" w:rsidRDefault="005530C2" w:rsidP="005530C2">
      <w:pPr>
        <w:jc w:val="both"/>
        <w:rPr>
          <w:rFonts w:ascii="Tahoma" w:hAnsi="Tahoma" w:cs="Tahoma"/>
          <w:bCs/>
          <w:color w:val="FF0000"/>
        </w:rPr>
      </w:pPr>
      <w:r w:rsidRPr="00401AE1">
        <w:rPr>
          <w:rFonts w:ascii="Arial" w:hAnsi="Arial" w:cs="Arial"/>
          <w:b/>
          <w:bCs/>
        </w:rPr>
        <w:t>M :</w:t>
      </w:r>
      <w:r w:rsidRPr="008213B0">
        <w:rPr>
          <w:rFonts w:ascii="Tahoma" w:hAnsi="Tahoma" w:cs="Tahoma"/>
          <w:bCs/>
          <w:color w:val="FF0000"/>
        </w:rPr>
        <w:t xml:space="preserve"> </w:t>
      </w:r>
      <w:r w:rsidRPr="00401AE1">
        <w:rPr>
          <w:rFonts w:ascii="Tahoma" w:hAnsi="Tahoma" w:cs="Tahoma"/>
          <w:bCs/>
        </w:rPr>
        <w:t>Sur</w:t>
      </w:r>
      <w:r>
        <w:rPr>
          <w:rFonts w:ascii="Tahoma" w:hAnsi="Tahoma" w:cs="Tahoma"/>
          <w:bCs/>
          <w:color w:val="FF0000"/>
        </w:rPr>
        <w:t xml:space="preserve"> </w:t>
      </w:r>
      <w:r w:rsidRPr="00E75757">
        <w:rPr>
          <w:rFonts w:ascii="Tahoma" w:hAnsi="Tahoma" w:cs="Tahoma"/>
          <w:bCs/>
        </w:rPr>
        <w:t>le long terme, la LS devra s’affranchir de plusieurs résistances pour envisager une reprise limitée de la hausse. Nous retrouvons le point de 1.55 avant le haut récent de 1.67.</w:t>
      </w:r>
    </w:p>
    <w:p w:rsidR="005530C2" w:rsidRPr="005530C2" w:rsidRDefault="005530C2" w:rsidP="005530C2">
      <w:pPr>
        <w:jc w:val="both"/>
        <w:rPr>
          <w:rFonts w:ascii="Tahoma" w:hAnsi="Tahoma" w:cs="Tahoma"/>
          <w:bCs/>
        </w:rPr>
      </w:pPr>
      <w:r w:rsidRPr="005530C2">
        <w:rPr>
          <w:rFonts w:ascii="Tahoma" w:hAnsi="Tahoma" w:cs="Tahoma"/>
          <w:bCs/>
        </w:rPr>
        <w:t>Quant au support, il est matérialisé par la TS sur 1.32.</w:t>
      </w:r>
    </w:p>
    <w:p w:rsidR="005530C2" w:rsidRDefault="005530C2" w:rsidP="005530C2">
      <w:pPr>
        <w:jc w:val="both"/>
        <w:rPr>
          <w:rFonts w:ascii="Arial" w:hAnsi="Arial" w:cs="Arial"/>
          <w:color w:val="FF0000"/>
        </w:rPr>
      </w:pPr>
    </w:p>
    <w:p w:rsidR="005530C2" w:rsidRPr="008213B0" w:rsidRDefault="005530C2" w:rsidP="005530C2">
      <w:pPr>
        <w:jc w:val="both"/>
        <w:rPr>
          <w:rFonts w:ascii="Arial" w:hAnsi="Arial" w:cs="Arial"/>
          <w:color w:val="FF0000"/>
        </w:rPr>
      </w:pPr>
    </w:p>
    <w:p w:rsidR="00D43DAB" w:rsidRPr="00292AF0" w:rsidRDefault="005530C2" w:rsidP="00BE257A">
      <w:pPr>
        <w:jc w:val="both"/>
        <w:rPr>
          <w:rFonts w:ascii="Arial" w:hAnsi="Arial" w:cs="Arial"/>
          <w:b/>
          <w:color w:val="00B050"/>
        </w:rPr>
      </w:pPr>
      <w:r w:rsidRPr="00E75757">
        <w:rPr>
          <w:rFonts w:ascii="Arial" w:hAnsi="Arial" w:cs="Arial"/>
          <w:b/>
          <w:color w:val="00B050"/>
          <w:u w:val="single"/>
        </w:rPr>
        <w:t>HEBDOMADAIRE</w:t>
      </w:r>
      <w:r w:rsidRPr="00E75757">
        <w:rPr>
          <w:rFonts w:ascii="Arial" w:hAnsi="Arial" w:cs="Arial"/>
          <w:b/>
          <w:color w:val="00B050"/>
        </w:rPr>
        <w:t xml:space="preserve"> : </w:t>
      </w:r>
      <w:r>
        <w:rPr>
          <w:rFonts w:ascii="Arial" w:hAnsi="Arial" w:cs="Arial"/>
          <w:b/>
          <w:color w:val="00B050"/>
        </w:rPr>
        <w:t>Neutralité du court terme entre 1.39-1.41 et 1.55.</w:t>
      </w:r>
      <w:r w:rsidR="00AA7942">
        <w:rPr>
          <w:rFonts w:ascii="Arial" w:hAnsi="Arial" w:cs="Arial"/>
          <w:b/>
          <w:color w:val="00B050"/>
        </w:rPr>
        <w:t xml:space="preserve"> </w:t>
      </w:r>
      <w:r w:rsidR="00031AE3">
        <w:rPr>
          <w:rFonts w:ascii="Arial" w:hAnsi="Arial" w:cs="Arial"/>
          <w:b/>
          <w:color w:val="00B050"/>
        </w:rPr>
        <w:t>En cas</w:t>
      </w:r>
      <w:r w:rsidR="006D7DCD">
        <w:rPr>
          <w:rFonts w:ascii="Arial" w:hAnsi="Arial" w:cs="Arial"/>
          <w:b/>
          <w:color w:val="00B050"/>
        </w:rPr>
        <w:t>sure du support 1.39-1.41 baisse</w:t>
      </w:r>
      <w:r w:rsidR="00031AE3">
        <w:rPr>
          <w:rFonts w:ascii="Arial" w:hAnsi="Arial" w:cs="Arial"/>
          <w:b/>
          <w:color w:val="00B050"/>
        </w:rPr>
        <w:t xml:space="preserve"> en direction de 1</w:t>
      </w:r>
      <w:r w:rsidR="00682009">
        <w:rPr>
          <w:rFonts w:ascii="Arial" w:hAnsi="Arial" w:cs="Arial"/>
          <w:b/>
          <w:color w:val="00B050"/>
        </w:rPr>
        <w:t>.25</w:t>
      </w:r>
      <w:r w:rsidR="006D7DCD">
        <w:rPr>
          <w:rFonts w:ascii="Arial" w:hAnsi="Arial" w:cs="Arial"/>
          <w:b/>
          <w:color w:val="00B050"/>
        </w:rPr>
        <w:t>.</w:t>
      </w:r>
    </w:p>
    <w:p w:rsidR="00F72829" w:rsidRPr="00B805BF" w:rsidRDefault="00F72829" w:rsidP="009D0985">
      <w:pPr>
        <w:jc w:val="both"/>
        <w:rPr>
          <w:rFonts w:ascii="Arial" w:eastAsia="Calibri" w:hAnsi="Arial" w:cs="Arial"/>
          <w:i/>
          <w:sz w:val="22"/>
          <w:szCs w:val="22"/>
        </w:rPr>
      </w:pPr>
      <w:r w:rsidRPr="00D43DAB">
        <w:rPr>
          <w:rFonts w:ascii="Arial" w:hAnsi="Arial" w:cs="Arial"/>
          <w:b/>
          <w:bCs/>
          <w:color w:val="FF0000"/>
          <w:sz w:val="28"/>
          <w:szCs w:val="28"/>
        </w:rPr>
        <w:lastRenderedPageBreak/>
        <w:t xml:space="preserve">                         </w:t>
      </w:r>
      <w:r w:rsidR="006D7DCD">
        <w:rPr>
          <w:rFonts w:ascii="Arial" w:hAnsi="Arial" w:cs="Arial"/>
          <w:b/>
          <w:bCs/>
          <w:color w:val="FF0000"/>
          <w:sz w:val="28"/>
          <w:szCs w:val="28"/>
        </w:rPr>
        <w:t xml:space="preserve">         </w:t>
      </w:r>
      <w:bookmarkStart w:id="1" w:name="_GoBack"/>
      <w:bookmarkEnd w:id="1"/>
    </w:p>
    <w:bookmarkEnd w:id="0"/>
    <w:p w:rsidR="00DC295E" w:rsidRPr="00D756C6" w:rsidRDefault="00DC295E">
      <w:pPr>
        <w:rPr>
          <w:rFonts w:ascii="Arial" w:hAnsi="Arial" w:cs="Arial"/>
          <w:sz w:val="20"/>
          <w:szCs w:val="20"/>
        </w:rPr>
      </w:pPr>
    </w:p>
    <w:sectPr w:rsidR="00DC295E" w:rsidRPr="00D756C6" w:rsidSect="0050573E">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EAA" w:rsidRDefault="00632EAA" w:rsidP="00632EAA">
      <w:r>
        <w:separator/>
      </w:r>
    </w:p>
  </w:endnote>
  <w:endnote w:type="continuationSeparator" w:id="0">
    <w:p w:rsidR="00632EAA" w:rsidRDefault="00632EAA"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85" w:rsidRDefault="009D098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85" w:rsidRDefault="009D0985">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2" name="MSIPCMe05346cbb8fb2a33c6649f62"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9D0985" w:rsidRPr="009D0985" w:rsidRDefault="009D0985" w:rsidP="009D0985">
                          <w:pPr>
                            <w:rPr>
                              <w:rFonts w:ascii="Calibri" w:hAnsi="Calibri" w:cs="Calibri"/>
                              <w:color w:val="737373"/>
                              <w:sz w:val="16"/>
                            </w:rPr>
                          </w:pPr>
                          <w:r w:rsidRPr="009D0985">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e05346cbb8fb2a33c6649f62"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" o:allowincell="f" filled="f" stroked="f" strokeweight=".5pt">
              <v:fill o:detectmouseclick="t"/>
              <v:textbox inset="20pt,0,,0">
                <w:txbxContent>
                  <w:p w:rsidR="009D0985" w:rsidRPr="009D0985" w:rsidRDefault="009D0985" w:rsidP="009D0985">
                    <w:pPr>
                      <w:rPr>
                        <w:rFonts w:ascii="Calibri" w:hAnsi="Calibri" w:cs="Calibri"/>
                        <w:color w:val="737373"/>
                        <w:sz w:val="16"/>
                      </w:rPr>
                    </w:pPr>
                    <w:r w:rsidRPr="009D0985">
                      <w:rPr>
                        <w:rFonts w:ascii="Calibri" w:hAnsi="Calibri" w:cs="Calibri"/>
                        <w:color w:val="737373"/>
                        <w:sz w:val="16"/>
                      </w:rPr>
                      <w:t>C2 - Internal Natixis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85" w:rsidRDefault="009D098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EAA" w:rsidRDefault="00632EAA" w:rsidP="00632EAA">
      <w:r>
        <w:separator/>
      </w:r>
    </w:p>
  </w:footnote>
  <w:footnote w:type="continuationSeparator" w:id="0">
    <w:p w:rsidR="00632EAA" w:rsidRDefault="00632EAA"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85" w:rsidRDefault="009D098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85" w:rsidRDefault="009D0985">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85" w:rsidRDefault="009D098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15DE9"/>
    <w:rsid w:val="00024342"/>
    <w:rsid w:val="00031AE3"/>
    <w:rsid w:val="00040AE9"/>
    <w:rsid w:val="00041F25"/>
    <w:rsid w:val="0005450A"/>
    <w:rsid w:val="000641C0"/>
    <w:rsid w:val="00077732"/>
    <w:rsid w:val="00093D02"/>
    <w:rsid w:val="0009601D"/>
    <w:rsid w:val="000A4A04"/>
    <w:rsid w:val="000C5BCC"/>
    <w:rsid w:val="000D21A7"/>
    <w:rsid w:val="000D6642"/>
    <w:rsid w:val="000D7ED2"/>
    <w:rsid w:val="000E52E1"/>
    <w:rsid w:val="000E65BF"/>
    <w:rsid w:val="00100473"/>
    <w:rsid w:val="00101F48"/>
    <w:rsid w:val="001155DC"/>
    <w:rsid w:val="00124CE0"/>
    <w:rsid w:val="0012530F"/>
    <w:rsid w:val="001420E9"/>
    <w:rsid w:val="00145281"/>
    <w:rsid w:val="00151611"/>
    <w:rsid w:val="00152726"/>
    <w:rsid w:val="00175D7D"/>
    <w:rsid w:val="001802ED"/>
    <w:rsid w:val="00181C36"/>
    <w:rsid w:val="001B1120"/>
    <w:rsid w:val="001C0A29"/>
    <w:rsid w:val="001C6728"/>
    <w:rsid w:val="001D21C0"/>
    <w:rsid w:val="001D2CFB"/>
    <w:rsid w:val="001F0E5F"/>
    <w:rsid w:val="00206C2A"/>
    <w:rsid w:val="0021328A"/>
    <w:rsid w:val="00222827"/>
    <w:rsid w:val="00233557"/>
    <w:rsid w:val="0023751E"/>
    <w:rsid w:val="00254989"/>
    <w:rsid w:val="00264ECA"/>
    <w:rsid w:val="00276D92"/>
    <w:rsid w:val="0027748F"/>
    <w:rsid w:val="00281F6C"/>
    <w:rsid w:val="00292AF0"/>
    <w:rsid w:val="002A322F"/>
    <w:rsid w:val="002A3CA4"/>
    <w:rsid w:val="002A63D2"/>
    <w:rsid w:val="002C101E"/>
    <w:rsid w:val="002C2834"/>
    <w:rsid w:val="002E337C"/>
    <w:rsid w:val="002E34FF"/>
    <w:rsid w:val="002E5E89"/>
    <w:rsid w:val="002F6B57"/>
    <w:rsid w:val="0031071E"/>
    <w:rsid w:val="003166BC"/>
    <w:rsid w:val="00317596"/>
    <w:rsid w:val="003228D3"/>
    <w:rsid w:val="00330C78"/>
    <w:rsid w:val="00347D77"/>
    <w:rsid w:val="00352A1E"/>
    <w:rsid w:val="00354C96"/>
    <w:rsid w:val="00360110"/>
    <w:rsid w:val="00367239"/>
    <w:rsid w:val="00367599"/>
    <w:rsid w:val="003702C4"/>
    <w:rsid w:val="00377440"/>
    <w:rsid w:val="003952D7"/>
    <w:rsid w:val="00397BA3"/>
    <w:rsid w:val="003B2CFF"/>
    <w:rsid w:val="003C03CD"/>
    <w:rsid w:val="003E1B3F"/>
    <w:rsid w:val="003E5A71"/>
    <w:rsid w:val="003F4023"/>
    <w:rsid w:val="003F6F10"/>
    <w:rsid w:val="00401AE1"/>
    <w:rsid w:val="00401F6A"/>
    <w:rsid w:val="004110E2"/>
    <w:rsid w:val="0043099C"/>
    <w:rsid w:val="00432974"/>
    <w:rsid w:val="00476700"/>
    <w:rsid w:val="00490C20"/>
    <w:rsid w:val="004A7BFF"/>
    <w:rsid w:val="004C107D"/>
    <w:rsid w:val="004C57CF"/>
    <w:rsid w:val="004C7595"/>
    <w:rsid w:val="004D02B8"/>
    <w:rsid w:val="004E02D3"/>
    <w:rsid w:val="004F49FB"/>
    <w:rsid w:val="0050573E"/>
    <w:rsid w:val="005224FA"/>
    <w:rsid w:val="0054379C"/>
    <w:rsid w:val="00545E40"/>
    <w:rsid w:val="005530C2"/>
    <w:rsid w:val="0056419E"/>
    <w:rsid w:val="0059070C"/>
    <w:rsid w:val="005B781D"/>
    <w:rsid w:val="005C3180"/>
    <w:rsid w:val="005C5E67"/>
    <w:rsid w:val="005D451E"/>
    <w:rsid w:val="005E4948"/>
    <w:rsid w:val="005F7340"/>
    <w:rsid w:val="006048FD"/>
    <w:rsid w:val="0062397C"/>
    <w:rsid w:val="00632EAA"/>
    <w:rsid w:val="00643293"/>
    <w:rsid w:val="00650C73"/>
    <w:rsid w:val="00670CF7"/>
    <w:rsid w:val="00676870"/>
    <w:rsid w:val="00682009"/>
    <w:rsid w:val="006871A5"/>
    <w:rsid w:val="0069101B"/>
    <w:rsid w:val="006A0DD9"/>
    <w:rsid w:val="006B35CA"/>
    <w:rsid w:val="006C634F"/>
    <w:rsid w:val="006D6C35"/>
    <w:rsid w:val="006D7DCD"/>
    <w:rsid w:val="006F7044"/>
    <w:rsid w:val="00704A64"/>
    <w:rsid w:val="00725CFC"/>
    <w:rsid w:val="0073620D"/>
    <w:rsid w:val="00746A4F"/>
    <w:rsid w:val="00762F69"/>
    <w:rsid w:val="00776C3E"/>
    <w:rsid w:val="007A54EF"/>
    <w:rsid w:val="007B31F5"/>
    <w:rsid w:val="007B6865"/>
    <w:rsid w:val="007C14A5"/>
    <w:rsid w:val="007D4DA3"/>
    <w:rsid w:val="007E3F85"/>
    <w:rsid w:val="007E4A2B"/>
    <w:rsid w:val="0081223A"/>
    <w:rsid w:val="0081521A"/>
    <w:rsid w:val="00817780"/>
    <w:rsid w:val="008213B0"/>
    <w:rsid w:val="008269BA"/>
    <w:rsid w:val="00841983"/>
    <w:rsid w:val="00841EF7"/>
    <w:rsid w:val="008431B4"/>
    <w:rsid w:val="0085485A"/>
    <w:rsid w:val="00855054"/>
    <w:rsid w:val="008761B9"/>
    <w:rsid w:val="008769DF"/>
    <w:rsid w:val="00893DED"/>
    <w:rsid w:val="00894BE9"/>
    <w:rsid w:val="008A2B2F"/>
    <w:rsid w:val="008A4E31"/>
    <w:rsid w:val="008C6E2B"/>
    <w:rsid w:val="008D0E1C"/>
    <w:rsid w:val="00900B05"/>
    <w:rsid w:val="009079FA"/>
    <w:rsid w:val="00911680"/>
    <w:rsid w:val="009141EC"/>
    <w:rsid w:val="00917964"/>
    <w:rsid w:val="0092725C"/>
    <w:rsid w:val="009372C2"/>
    <w:rsid w:val="0093766C"/>
    <w:rsid w:val="00947D9D"/>
    <w:rsid w:val="0097505A"/>
    <w:rsid w:val="00996367"/>
    <w:rsid w:val="009B7D86"/>
    <w:rsid w:val="009C2A7C"/>
    <w:rsid w:val="009D01D8"/>
    <w:rsid w:val="009D0985"/>
    <w:rsid w:val="00A15D2E"/>
    <w:rsid w:val="00A2391D"/>
    <w:rsid w:val="00A27403"/>
    <w:rsid w:val="00A308B4"/>
    <w:rsid w:val="00A36E33"/>
    <w:rsid w:val="00A3772E"/>
    <w:rsid w:val="00A472AD"/>
    <w:rsid w:val="00A636A6"/>
    <w:rsid w:val="00A64B0D"/>
    <w:rsid w:val="00A741BF"/>
    <w:rsid w:val="00A84247"/>
    <w:rsid w:val="00A901AB"/>
    <w:rsid w:val="00A902E0"/>
    <w:rsid w:val="00AA00F5"/>
    <w:rsid w:val="00AA5C6E"/>
    <w:rsid w:val="00AA7942"/>
    <w:rsid w:val="00AC4E3C"/>
    <w:rsid w:val="00AD3EC0"/>
    <w:rsid w:val="00AE44FC"/>
    <w:rsid w:val="00AF4A78"/>
    <w:rsid w:val="00AF6373"/>
    <w:rsid w:val="00B018B5"/>
    <w:rsid w:val="00B06C8C"/>
    <w:rsid w:val="00B10C67"/>
    <w:rsid w:val="00B22088"/>
    <w:rsid w:val="00B23C18"/>
    <w:rsid w:val="00B30D14"/>
    <w:rsid w:val="00B35DBD"/>
    <w:rsid w:val="00B41142"/>
    <w:rsid w:val="00B422AB"/>
    <w:rsid w:val="00B5084B"/>
    <w:rsid w:val="00B65EBF"/>
    <w:rsid w:val="00B74B95"/>
    <w:rsid w:val="00BA1F23"/>
    <w:rsid w:val="00BD620D"/>
    <w:rsid w:val="00BE257A"/>
    <w:rsid w:val="00BE6BD9"/>
    <w:rsid w:val="00BE7C61"/>
    <w:rsid w:val="00BF28CE"/>
    <w:rsid w:val="00C0184E"/>
    <w:rsid w:val="00C17FD4"/>
    <w:rsid w:val="00C23D35"/>
    <w:rsid w:val="00C5412E"/>
    <w:rsid w:val="00C5448E"/>
    <w:rsid w:val="00C606D4"/>
    <w:rsid w:val="00C620BE"/>
    <w:rsid w:val="00C70863"/>
    <w:rsid w:val="00C85349"/>
    <w:rsid w:val="00C92A3F"/>
    <w:rsid w:val="00CA3A8D"/>
    <w:rsid w:val="00CB45A3"/>
    <w:rsid w:val="00CB5FE1"/>
    <w:rsid w:val="00CD06AD"/>
    <w:rsid w:val="00CD4D97"/>
    <w:rsid w:val="00CF7FF8"/>
    <w:rsid w:val="00D06ADB"/>
    <w:rsid w:val="00D24188"/>
    <w:rsid w:val="00D27672"/>
    <w:rsid w:val="00D32D69"/>
    <w:rsid w:val="00D40055"/>
    <w:rsid w:val="00D43DAB"/>
    <w:rsid w:val="00D452F3"/>
    <w:rsid w:val="00D458DE"/>
    <w:rsid w:val="00D5530C"/>
    <w:rsid w:val="00D756C6"/>
    <w:rsid w:val="00D90986"/>
    <w:rsid w:val="00D9653B"/>
    <w:rsid w:val="00DA29A7"/>
    <w:rsid w:val="00DA6C8B"/>
    <w:rsid w:val="00DC295E"/>
    <w:rsid w:val="00DC3AA6"/>
    <w:rsid w:val="00DC3BB3"/>
    <w:rsid w:val="00DC6E5A"/>
    <w:rsid w:val="00DD26C3"/>
    <w:rsid w:val="00DD5A19"/>
    <w:rsid w:val="00E01395"/>
    <w:rsid w:val="00E376A8"/>
    <w:rsid w:val="00E43B0C"/>
    <w:rsid w:val="00E44FD6"/>
    <w:rsid w:val="00E60B59"/>
    <w:rsid w:val="00E73BC8"/>
    <w:rsid w:val="00E743CB"/>
    <w:rsid w:val="00E75757"/>
    <w:rsid w:val="00E803BA"/>
    <w:rsid w:val="00E810A2"/>
    <w:rsid w:val="00EC49FD"/>
    <w:rsid w:val="00ED0482"/>
    <w:rsid w:val="00EE13D1"/>
    <w:rsid w:val="00EE7FC9"/>
    <w:rsid w:val="00F136E1"/>
    <w:rsid w:val="00F21A60"/>
    <w:rsid w:val="00F26BC3"/>
    <w:rsid w:val="00F52598"/>
    <w:rsid w:val="00F5391F"/>
    <w:rsid w:val="00F72829"/>
    <w:rsid w:val="00F74739"/>
    <w:rsid w:val="00F758DE"/>
    <w:rsid w:val="00F7692C"/>
    <w:rsid w:val="00F82484"/>
    <w:rsid w:val="00F846A0"/>
    <w:rsid w:val="00F944A1"/>
    <w:rsid w:val="00F950A8"/>
    <w:rsid w:val="00FA3742"/>
    <w:rsid w:val="00FA6DF2"/>
    <w:rsid w:val="00FD367A"/>
    <w:rsid w:val="00FE30E6"/>
    <w:rsid w:val="00FF10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E043D3FF-1C56-4976-8AD3-1951A7090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8C374-E5A3-4D19-A105-A6696C9B3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10</Pages>
  <Words>986</Words>
  <Characters>5425</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 Luc</cp:lastModifiedBy>
  <cp:revision>221</cp:revision>
  <cp:lastPrinted>2018-03-12T09:18:00Z</cp:lastPrinted>
  <dcterms:created xsi:type="dcterms:W3CDTF">2018-02-02T13:49:00Z</dcterms:created>
  <dcterms:modified xsi:type="dcterms:W3CDTF">2018-03-19T09:19:00Z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jean-luc.attal@am.natixis.com</vt:lpwstr>
  </property>
  <property fmtid="{D5CDD505-2E9C-101B-9397-08002B2CF9AE}" pid="6" name="MSIP_Label_797e4f81-4b1c-4a3a-b237-8636707719dc_SetDate">
    <vt:lpwstr>2018-02-09T14:58:55.9057115+01:00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