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6FA"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F72829">
      <w:pPr>
        <w:tabs>
          <w:tab w:val="left" w:pos="3696"/>
        </w:tabs>
        <w:ind w:left="-1134"/>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3E749D">
        <w:rPr>
          <w:rFonts w:ascii="Calibri Light" w:hAnsi="Calibri Light" w:cs="Arial"/>
          <w:b/>
          <w:sz w:val="44"/>
          <w:szCs w:val="44"/>
        </w:rPr>
        <w:t>26</w:t>
      </w:r>
      <w:r w:rsidR="00FF1052">
        <w:rPr>
          <w:rFonts w:ascii="Calibri Light" w:hAnsi="Calibri Light" w:cs="Arial"/>
          <w:b/>
          <w:sz w:val="44"/>
          <w:szCs w:val="44"/>
        </w:rPr>
        <w:t xml:space="preserve"> </w:t>
      </w:r>
      <w:r w:rsidR="008213B0">
        <w:rPr>
          <w:rFonts w:ascii="Calibri Light" w:hAnsi="Calibri Light" w:cs="Arial"/>
          <w:b/>
          <w:sz w:val="44"/>
          <w:szCs w:val="44"/>
        </w:rPr>
        <w:t>mars</w:t>
      </w:r>
      <w:r>
        <w:rPr>
          <w:rFonts w:ascii="Calibri Light" w:hAnsi="Calibri Light" w:cs="Arial"/>
          <w:b/>
          <w:sz w:val="44"/>
          <w:szCs w:val="44"/>
        </w:rPr>
        <w:t xml:space="preserve"> 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040AE9" w:rsidRPr="00800AB1" w:rsidRDefault="00040AE9" w:rsidP="00F72829">
      <w:pPr>
        <w:jc w:val="both"/>
        <w:rPr>
          <w:rFonts w:ascii="Arial" w:hAnsi="Arial" w:cs="Arial"/>
          <w:b/>
          <w:sz w:val="22"/>
          <w:szCs w:val="22"/>
        </w:rPr>
      </w:pPr>
    </w:p>
    <w:p w:rsidR="00F72829" w:rsidRPr="00894BE9"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894BE9">
        <w:rPr>
          <w:rFonts w:ascii="Arial" w:hAnsi="Arial" w:cs="Arial"/>
          <w:b/>
          <w:sz w:val="36"/>
          <w:szCs w:val="36"/>
          <w:u w:val="single"/>
        </w:rPr>
        <w:t xml:space="preserve">10 ans Euro </w:t>
      </w:r>
    </w:p>
    <w:p w:rsidR="00F72829" w:rsidRPr="00894BE9" w:rsidRDefault="00F72829" w:rsidP="00F72829">
      <w:pPr>
        <w:autoSpaceDE w:val="0"/>
        <w:jc w:val="both"/>
        <w:rPr>
          <w:rFonts w:ascii="Arial" w:hAnsi="Arial" w:cs="Arial"/>
          <w:b/>
          <w:sz w:val="28"/>
          <w:szCs w:val="28"/>
          <w:u w:val="single"/>
        </w:rPr>
      </w:pPr>
      <w:r w:rsidRPr="00894BE9">
        <w:rPr>
          <w:rFonts w:ascii="Arial" w:hAnsi="Arial" w:cs="Arial"/>
          <w:b/>
          <w:sz w:val="28"/>
          <w:szCs w:val="28"/>
          <w:u w:val="single"/>
        </w:rPr>
        <w:t>Daily</w:t>
      </w:r>
    </w:p>
    <w:p w:rsidR="00F72829" w:rsidRPr="00F26BC3" w:rsidRDefault="004F7DDC" w:rsidP="00F72829">
      <w:pPr>
        <w:autoSpaceDE w:val="0"/>
        <w:ind w:left="-737"/>
        <w:jc w:val="both"/>
        <w:rPr>
          <w:rFonts w:ascii="Arial" w:hAnsi="Arial" w:cs="Arial"/>
          <w:b/>
          <w:sz w:val="28"/>
          <w:szCs w:val="28"/>
          <w:u w:val="single"/>
        </w:rPr>
      </w:pPr>
      <w:r>
        <w:rPr>
          <w:noProof/>
        </w:rPr>
        <w:drawing>
          <wp:inline distT="0" distB="0" distL="0" distR="0">
            <wp:extent cx="6617970" cy="3992880"/>
            <wp:effectExtent l="0" t="0" r="0" b="7620"/>
            <wp:docPr id="4" name="Image 4" descr="C:\Users\jlattal\AppData\Local\Microsoft\Windows\INetCache\Content.Word\bfm131B.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Microsoft\Windows\INetCache\Content.Word\bfm131B.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1284" cy="3994879"/>
                    </a:xfrm>
                    <a:prstGeom prst="rect">
                      <a:avLst/>
                    </a:prstGeom>
                    <a:noFill/>
                    <a:ln>
                      <a:noFill/>
                    </a:ln>
                  </pic:spPr>
                </pic:pic>
              </a:graphicData>
            </a:graphic>
          </wp:inline>
        </w:drawing>
      </w:r>
    </w:p>
    <w:p w:rsidR="00F72829" w:rsidRPr="00A40891" w:rsidRDefault="00F72829" w:rsidP="00F72829">
      <w:pPr>
        <w:autoSpaceDE w:val="0"/>
        <w:jc w:val="both"/>
        <w:rPr>
          <w:rFonts w:ascii="Arial" w:hAnsi="Arial" w:cs="Arial"/>
          <w:b/>
          <w:sz w:val="28"/>
          <w:szCs w:val="28"/>
          <w:u w:val="single"/>
        </w:rPr>
      </w:pPr>
      <w:r w:rsidRPr="00A40891">
        <w:rPr>
          <w:rFonts w:ascii="Arial" w:hAnsi="Arial" w:cs="Arial"/>
          <w:b/>
          <w:sz w:val="28"/>
          <w:szCs w:val="28"/>
          <w:u w:val="single"/>
        </w:rPr>
        <w:t>Weekly</w:t>
      </w:r>
    </w:p>
    <w:p w:rsidR="00F72829" w:rsidRPr="00A40891" w:rsidRDefault="00B71F16" w:rsidP="00F72829">
      <w:pPr>
        <w:autoSpaceDE w:val="0"/>
        <w:ind w:left="-850"/>
        <w:jc w:val="both"/>
        <w:rPr>
          <w:rFonts w:ascii="Arial" w:hAnsi="Arial" w:cs="Arial"/>
          <w:b/>
          <w:sz w:val="28"/>
          <w:szCs w:val="28"/>
          <w:u w:val="single"/>
        </w:rPr>
      </w:pPr>
      <w:r>
        <w:rPr>
          <w:rFonts w:ascii="Arial" w:hAnsi="Arial" w:cs="Arial"/>
          <w:b/>
          <w:noProof/>
          <w:sz w:val="28"/>
          <w:szCs w:val="28"/>
          <w:u w:val="single"/>
        </w:rPr>
        <w:drawing>
          <wp:inline distT="0" distB="0" distL="0" distR="0">
            <wp:extent cx="6675120" cy="4135001"/>
            <wp:effectExtent l="0" t="0" r="0" b="0"/>
            <wp:docPr id="5" name="Image 5" descr="C:\Temp\Bloomberg\temp\bfm83E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emp\Bloomberg\temp\bfm83E8.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7733" cy="4130425"/>
                    </a:xfrm>
                    <a:prstGeom prst="rect">
                      <a:avLst/>
                    </a:prstGeom>
                    <a:noFill/>
                    <a:ln>
                      <a:noFill/>
                    </a:ln>
                  </pic:spPr>
                </pic:pic>
              </a:graphicData>
            </a:graphic>
          </wp:inline>
        </w:drawing>
      </w:r>
    </w:p>
    <w:p w:rsidR="00B71F16" w:rsidRDefault="00F72829" w:rsidP="00CD4D97">
      <w:pPr>
        <w:autoSpaceDE w:val="0"/>
        <w:jc w:val="both"/>
        <w:rPr>
          <w:rFonts w:ascii="Arial" w:hAnsi="Arial" w:cs="Arial"/>
          <w:b/>
          <w:sz w:val="28"/>
          <w:szCs w:val="28"/>
          <w:u w:val="single"/>
        </w:rPr>
      </w:pPr>
      <w:r w:rsidRPr="00A40891">
        <w:rPr>
          <w:rFonts w:ascii="Arial" w:hAnsi="Arial" w:cs="Arial"/>
          <w:b/>
          <w:sz w:val="28"/>
          <w:szCs w:val="28"/>
          <w:u w:val="single"/>
        </w:rPr>
        <w:lastRenderedPageBreak/>
        <w:t>Monthly</w:t>
      </w:r>
    </w:p>
    <w:p w:rsidR="0059070C" w:rsidRPr="00A665E7" w:rsidRDefault="00B71F16" w:rsidP="00C86F3C">
      <w:pPr>
        <w:autoSpaceDE w:val="0"/>
        <w:jc w:val="both"/>
        <w:rPr>
          <w:rFonts w:ascii="Arial" w:hAnsi="Arial" w:cs="Arial"/>
          <w:b/>
          <w:sz w:val="28"/>
          <w:szCs w:val="28"/>
          <w:u w:val="single"/>
        </w:rPr>
      </w:pPr>
      <w:r>
        <w:rPr>
          <w:rFonts w:ascii="Arial" w:hAnsi="Arial" w:cs="Arial"/>
          <w:b/>
          <w:noProof/>
          <w:sz w:val="28"/>
          <w:szCs w:val="28"/>
          <w:u w:val="single"/>
        </w:rPr>
        <w:drawing>
          <wp:inline distT="0" distB="0" distL="0" distR="0">
            <wp:extent cx="5730976" cy="3581400"/>
            <wp:effectExtent l="0" t="0" r="3175" b="0"/>
            <wp:docPr id="6" name="Image 6" descr="C:\Temp\Bloomberg\temp\bfm3B3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Bloomberg\temp\bfm3B37.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2419" cy="3582302"/>
                    </a:xfrm>
                    <a:prstGeom prst="rect">
                      <a:avLst/>
                    </a:prstGeom>
                    <a:noFill/>
                    <a:ln>
                      <a:noFill/>
                    </a:ln>
                  </pic:spPr>
                </pic:pic>
              </a:graphicData>
            </a:graphic>
          </wp:inline>
        </w:drawing>
      </w:r>
    </w:p>
    <w:p w:rsidR="00F72829" w:rsidRPr="00A665E7" w:rsidRDefault="00F72829" w:rsidP="00F72829">
      <w:pPr>
        <w:jc w:val="both"/>
        <w:rPr>
          <w:rFonts w:ascii="Arial" w:hAnsi="Arial" w:cs="Arial"/>
          <w:b/>
          <w:sz w:val="28"/>
          <w:szCs w:val="28"/>
          <w:u w:val="single"/>
        </w:rPr>
      </w:pPr>
    </w:p>
    <w:p w:rsidR="003C03CD" w:rsidRPr="00A665E7" w:rsidRDefault="00F72829" w:rsidP="00AB20FB">
      <w:pPr>
        <w:jc w:val="both"/>
        <w:rPr>
          <w:rFonts w:ascii="Tahoma" w:hAnsi="Tahoma" w:cs="Tahoma"/>
        </w:rPr>
      </w:pPr>
      <w:r w:rsidRPr="00A665E7">
        <w:rPr>
          <w:rFonts w:ascii="Arial" w:hAnsi="Arial" w:cs="Arial"/>
          <w:b/>
          <w:bCs/>
        </w:rPr>
        <w:t xml:space="preserve">D : </w:t>
      </w:r>
      <w:r w:rsidR="00A665E7" w:rsidRPr="00A665E7">
        <w:rPr>
          <w:rFonts w:ascii="Tahoma" w:hAnsi="Tahoma" w:cs="Tahoma"/>
        </w:rPr>
        <w:t xml:space="preserve">Le marché évolue autour de la borne basse de son nuage. </w:t>
      </w:r>
      <w:r w:rsidR="00A665E7">
        <w:rPr>
          <w:rFonts w:ascii="Tahoma" w:hAnsi="Tahoma" w:cs="Tahoma"/>
        </w:rPr>
        <w:t>Pour valider une rupture</w:t>
      </w:r>
      <w:r w:rsidR="003E749D">
        <w:rPr>
          <w:rFonts w:ascii="Tahoma" w:hAnsi="Tahoma" w:cs="Tahoma"/>
        </w:rPr>
        <w:t>,</w:t>
      </w:r>
      <w:r w:rsidR="00A665E7">
        <w:rPr>
          <w:rFonts w:ascii="Tahoma" w:hAnsi="Tahoma" w:cs="Tahoma"/>
        </w:rPr>
        <w:t xml:space="preserve"> un maintien du 10 ans Euro sous 0.54 sera </w:t>
      </w:r>
      <w:r w:rsidR="00932B93">
        <w:rPr>
          <w:rFonts w:ascii="Tahoma" w:hAnsi="Tahoma" w:cs="Tahoma"/>
        </w:rPr>
        <w:t>nécessaire</w:t>
      </w:r>
      <w:r w:rsidR="00A665E7">
        <w:rPr>
          <w:rFonts w:ascii="Tahoma" w:hAnsi="Tahoma" w:cs="Tahoma"/>
        </w:rPr>
        <w:t xml:space="preserve">. Ce maintien permettra à la LS de poursuivre son mouvement de baisse et de profiter de </w:t>
      </w:r>
      <w:r w:rsidR="003E749D">
        <w:rPr>
          <w:rFonts w:ascii="Tahoma" w:hAnsi="Tahoma" w:cs="Tahoma"/>
        </w:rPr>
        <w:t>l’</w:t>
      </w:r>
      <w:r w:rsidR="00A665E7">
        <w:rPr>
          <w:rFonts w:ascii="Tahoma" w:hAnsi="Tahoma" w:cs="Tahoma"/>
        </w:rPr>
        <w:t xml:space="preserve">espace libre </w:t>
      </w:r>
      <w:r w:rsidR="00CE778C">
        <w:rPr>
          <w:rFonts w:ascii="Tahoma" w:hAnsi="Tahoma" w:cs="Tahoma"/>
        </w:rPr>
        <w:t xml:space="preserve">pour venir chercher son support matérialisé par </w:t>
      </w:r>
      <w:r w:rsidR="003E749D">
        <w:rPr>
          <w:rFonts w:ascii="Tahoma" w:hAnsi="Tahoma" w:cs="Tahoma"/>
        </w:rPr>
        <w:t>un</w:t>
      </w:r>
      <w:r w:rsidR="00CE778C">
        <w:rPr>
          <w:rFonts w:ascii="Tahoma" w:hAnsi="Tahoma" w:cs="Tahoma"/>
        </w:rPr>
        <w:t xml:space="preserve"> nuage compris entre 0.48 et 0.44.</w:t>
      </w:r>
    </w:p>
    <w:p w:rsidR="00F72829" w:rsidRPr="00A665E7" w:rsidRDefault="00F72829" w:rsidP="00F72829">
      <w:pPr>
        <w:jc w:val="both"/>
        <w:rPr>
          <w:rFonts w:ascii="Tahoma" w:hAnsi="Tahoma" w:cs="Tahoma"/>
          <w:bCs/>
        </w:rPr>
      </w:pPr>
      <w:r w:rsidRPr="00A665E7">
        <w:rPr>
          <w:rFonts w:ascii="Tahoma" w:hAnsi="Tahoma" w:cs="Tahoma"/>
          <w:bCs/>
        </w:rPr>
        <w:t xml:space="preserve">   </w:t>
      </w:r>
    </w:p>
    <w:p w:rsidR="00145281" w:rsidRPr="00A665E7" w:rsidRDefault="00F72829" w:rsidP="00AB20FB">
      <w:pPr>
        <w:jc w:val="both"/>
        <w:rPr>
          <w:rFonts w:ascii="Tahoma" w:hAnsi="Tahoma" w:cs="Tahoma"/>
        </w:rPr>
      </w:pPr>
      <w:r w:rsidRPr="00A665E7">
        <w:rPr>
          <w:rFonts w:ascii="Arial" w:hAnsi="Arial" w:cs="Arial"/>
          <w:b/>
          <w:bCs/>
        </w:rPr>
        <w:t xml:space="preserve">W : </w:t>
      </w:r>
      <w:r w:rsidR="003C03CD" w:rsidRPr="00A665E7">
        <w:rPr>
          <w:rFonts w:ascii="Tahoma" w:hAnsi="Tahoma" w:cs="Tahoma"/>
        </w:rPr>
        <w:t xml:space="preserve">Le </w:t>
      </w:r>
      <w:r w:rsidR="000679AC">
        <w:rPr>
          <w:rFonts w:ascii="Tahoma" w:hAnsi="Tahoma" w:cs="Tahoma"/>
        </w:rPr>
        <w:t xml:space="preserve">plat de KS de 0.54 sera le support </w:t>
      </w:r>
      <w:r w:rsidR="00932B93">
        <w:rPr>
          <w:rFonts w:ascii="Tahoma" w:hAnsi="Tahoma" w:cs="Tahoma"/>
        </w:rPr>
        <w:t>à</w:t>
      </w:r>
      <w:r w:rsidR="000679AC">
        <w:rPr>
          <w:rFonts w:ascii="Tahoma" w:hAnsi="Tahoma" w:cs="Tahoma"/>
        </w:rPr>
        <w:t xml:space="preserve"> </w:t>
      </w:r>
      <w:r w:rsidR="00957245">
        <w:rPr>
          <w:rFonts w:ascii="Tahoma" w:hAnsi="Tahoma" w:cs="Tahoma"/>
        </w:rPr>
        <w:t>casser</w:t>
      </w:r>
      <w:r w:rsidR="000679AC">
        <w:rPr>
          <w:rFonts w:ascii="Tahoma" w:hAnsi="Tahoma" w:cs="Tahoma"/>
        </w:rPr>
        <w:t xml:space="preserve"> pour envisager une poursuite de la baisse. Sans cette rupture, la TS s’aplatira sur 0.66 pour confirmer l’absence de tendance sur le moyen terme.</w:t>
      </w:r>
    </w:p>
    <w:p w:rsidR="000D21A7" w:rsidRPr="00A665E7" w:rsidRDefault="000D21A7" w:rsidP="00F72829">
      <w:pPr>
        <w:jc w:val="both"/>
        <w:rPr>
          <w:rFonts w:ascii="Tahoma" w:hAnsi="Tahoma" w:cs="Tahoma"/>
        </w:rPr>
      </w:pPr>
    </w:p>
    <w:p w:rsidR="007B6865" w:rsidRPr="00957245" w:rsidRDefault="00F72829" w:rsidP="008C6E2B">
      <w:pPr>
        <w:jc w:val="both"/>
        <w:rPr>
          <w:rFonts w:ascii="Tahoma" w:hAnsi="Tahoma" w:cs="Tahoma"/>
        </w:rPr>
      </w:pPr>
      <w:r w:rsidRPr="00957245">
        <w:rPr>
          <w:rFonts w:ascii="Arial" w:hAnsi="Arial" w:cs="Arial"/>
          <w:b/>
        </w:rPr>
        <w:t>M</w:t>
      </w:r>
      <w:r w:rsidR="00DC3AA6" w:rsidRPr="00957245">
        <w:rPr>
          <w:rFonts w:ascii="Arial" w:hAnsi="Arial" w:cs="Arial"/>
          <w:b/>
        </w:rPr>
        <w:t xml:space="preserve"> : </w:t>
      </w:r>
      <w:r w:rsidR="003E749D">
        <w:rPr>
          <w:rFonts w:ascii="Tahoma" w:hAnsi="Tahoma" w:cs="Tahoma"/>
        </w:rPr>
        <w:t>S</w:t>
      </w:r>
      <w:r w:rsidR="003E749D" w:rsidRPr="00957245">
        <w:rPr>
          <w:rFonts w:ascii="Tahoma" w:hAnsi="Tahoma" w:cs="Tahoma"/>
        </w:rPr>
        <w:t>ur 0.54</w:t>
      </w:r>
      <w:r w:rsidR="003E749D">
        <w:rPr>
          <w:rFonts w:ascii="Tahoma" w:hAnsi="Tahoma" w:cs="Tahoma"/>
        </w:rPr>
        <w:t>,</w:t>
      </w:r>
      <w:r w:rsidR="003E749D" w:rsidRPr="00957245">
        <w:rPr>
          <w:rFonts w:ascii="Tahoma" w:hAnsi="Tahoma" w:cs="Tahoma"/>
        </w:rPr>
        <w:t xml:space="preserve"> </w:t>
      </w:r>
      <w:r w:rsidR="003E749D">
        <w:rPr>
          <w:rFonts w:ascii="Tahoma" w:hAnsi="Tahoma" w:cs="Tahoma"/>
        </w:rPr>
        <w:t>l</w:t>
      </w:r>
      <w:r w:rsidR="00FD367A" w:rsidRPr="00957245">
        <w:rPr>
          <w:rFonts w:ascii="Tahoma" w:hAnsi="Tahoma" w:cs="Tahoma"/>
        </w:rPr>
        <w:t xml:space="preserve">a TS mensuelle du </w:t>
      </w:r>
      <w:r w:rsidR="003E749D">
        <w:rPr>
          <w:rFonts w:ascii="Tahoma" w:hAnsi="Tahoma" w:cs="Tahoma"/>
        </w:rPr>
        <w:t>10 ans Euro</w:t>
      </w:r>
      <w:r w:rsidR="00FD367A" w:rsidRPr="00957245">
        <w:rPr>
          <w:rFonts w:ascii="Tahoma" w:hAnsi="Tahoma" w:cs="Tahoma"/>
        </w:rPr>
        <w:t xml:space="preserve"> </w:t>
      </w:r>
      <w:r w:rsidR="007B6865" w:rsidRPr="00957245">
        <w:rPr>
          <w:rFonts w:ascii="Tahoma" w:hAnsi="Tahoma" w:cs="Tahoma"/>
        </w:rPr>
        <w:t>renforce le point évoqué sur le court terme et sur le moyen terme</w:t>
      </w:r>
      <w:r w:rsidR="008761B9" w:rsidRPr="00957245">
        <w:rPr>
          <w:rFonts w:ascii="Tahoma" w:hAnsi="Tahoma" w:cs="Tahoma"/>
        </w:rPr>
        <w:t>.</w:t>
      </w:r>
    </w:p>
    <w:p w:rsidR="00EE13D1" w:rsidRPr="00957245" w:rsidRDefault="00EE13D1" w:rsidP="008C6E2B">
      <w:pPr>
        <w:jc w:val="both"/>
        <w:rPr>
          <w:rFonts w:ascii="Tahoma" w:hAnsi="Tahoma" w:cs="Tahoma"/>
        </w:rPr>
      </w:pPr>
      <w:r w:rsidRPr="00957245">
        <w:rPr>
          <w:rFonts w:ascii="Tahoma" w:hAnsi="Tahoma" w:cs="Tahoma"/>
        </w:rPr>
        <w:t>Mais la hausse ne pourra reprendre qu’</w:t>
      </w:r>
      <w:r w:rsidR="00855054" w:rsidRPr="00957245">
        <w:rPr>
          <w:rFonts w:ascii="Tahoma" w:hAnsi="Tahoma" w:cs="Tahoma"/>
        </w:rPr>
        <w:t>après</w:t>
      </w:r>
      <w:r w:rsidRPr="00957245">
        <w:rPr>
          <w:rFonts w:ascii="Tahoma" w:hAnsi="Tahoma" w:cs="Tahoma"/>
        </w:rPr>
        <w:t xml:space="preserve"> le dépassement de 0.69 qui représente une résistance au niveau de la LS.</w:t>
      </w:r>
    </w:p>
    <w:p w:rsidR="00F72829" w:rsidRPr="00AB20FB" w:rsidRDefault="00F72829" w:rsidP="00F72829">
      <w:pPr>
        <w:jc w:val="both"/>
        <w:rPr>
          <w:rFonts w:ascii="Arial" w:hAnsi="Arial" w:cs="Arial"/>
          <w:b/>
          <w:color w:val="FF0000"/>
        </w:rPr>
      </w:pPr>
    </w:p>
    <w:p w:rsidR="000E52E1" w:rsidRPr="00957245" w:rsidRDefault="00F72829" w:rsidP="00957245">
      <w:pPr>
        <w:jc w:val="both"/>
        <w:rPr>
          <w:rFonts w:ascii="Arial" w:hAnsi="Arial" w:cs="Arial"/>
          <w:b/>
          <w:color w:val="00B050"/>
        </w:rPr>
      </w:pPr>
      <w:r w:rsidRPr="00957245">
        <w:rPr>
          <w:rFonts w:ascii="Arial" w:hAnsi="Arial" w:cs="Arial"/>
          <w:b/>
          <w:color w:val="00B050"/>
          <w:u w:val="single"/>
        </w:rPr>
        <w:t>HEBDOMADAIRE</w:t>
      </w:r>
      <w:r w:rsidRPr="00957245">
        <w:rPr>
          <w:rFonts w:ascii="Arial" w:hAnsi="Arial" w:cs="Arial"/>
          <w:b/>
          <w:color w:val="00B050"/>
        </w:rPr>
        <w:t xml:space="preserve"> : </w:t>
      </w:r>
      <w:r w:rsidR="00957245" w:rsidRPr="00957245">
        <w:rPr>
          <w:rFonts w:ascii="Arial" w:hAnsi="Arial" w:cs="Arial"/>
          <w:b/>
          <w:color w:val="00B050"/>
        </w:rPr>
        <w:t>Pour envisager une poursuite du mouvement de baisse le 10 ans devra s’établir sous 0.54 et s’y maintenir dans le cas contraire, une consolidation pourra se développer.</w:t>
      </w:r>
    </w:p>
    <w:p w:rsidR="00AB20FB" w:rsidRPr="00AB20FB" w:rsidRDefault="00AB20FB" w:rsidP="003952D7">
      <w:pPr>
        <w:jc w:val="both"/>
        <w:rPr>
          <w:rFonts w:ascii="Arial" w:hAnsi="Arial" w:cs="Arial"/>
          <w:b/>
          <w:color w:val="FF0000"/>
        </w:rPr>
      </w:pPr>
    </w:p>
    <w:p w:rsidR="00726F34" w:rsidRPr="00C86F3C" w:rsidRDefault="00957245" w:rsidP="003952D7">
      <w:pPr>
        <w:jc w:val="both"/>
        <w:rPr>
          <w:rFonts w:ascii="Arial" w:hAnsi="Arial" w:cs="Arial"/>
          <w:b/>
          <w:u w:val="single"/>
        </w:rPr>
      </w:pPr>
      <w:r>
        <w:rPr>
          <w:rFonts w:ascii="Arial" w:hAnsi="Arial" w:cs="Arial"/>
          <w:b/>
          <w:u w:val="single"/>
        </w:rPr>
        <w:t xml:space="preserve">MENSUEL : </w:t>
      </w:r>
      <w:r w:rsidR="00726F34" w:rsidRPr="00DE727B">
        <w:rPr>
          <w:rFonts w:ascii="Arial" w:hAnsi="Arial" w:cs="Arial"/>
          <w:b/>
          <w:u w:val="single"/>
        </w:rPr>
        <w:t xml:space="preserve">Depuis le sommet de 0.80, le marché corrige. Un support important a pris forme sur 0.54. Il y a peu de chance de voir ce point invalidé. Une cassure peut être temporaire et se traduire par un retour du marché sur 0.40. Un maintien du taux sous 0.54 aura des conséquences plus baissières et l’on pourra envisager alors une baisse plus prononcée sur 0.30, base </w:t>
      </w:r>
      <w:r w:rsidR="00C86F3C">
        <w:rPr>
          <w:rFonts w:ascii="Arial" w:hAnsi="Arial" w:cs="Arial"/>
          <w:b/>
          <w:u w:val="single"/>
        </w:rPr>
        <w:t>de la dernière vague de hausse.</w:t>
      </w:r>
    </w:p>
    <w:p w:rsidR="00726F34" w:rsidRDefault="00726F34" w:rsidP="003952D7">
      <w:pPr>
        <w:jc w:val="both"/>
        <w:rPr>
          <w:rFonts w:ascii="Arial" w:hAnsi="Arial" w:cs="Arial"/>
          <w:b/>
          <w:color w:val="FF0000"/>
        </w:rPr>
      </w:pPr>
    </w:p>
    <w:p w:rsidR="00E60B59" w:rsidRPr="00E74773" w:rsidRDefault="003E1B3F" w:rsidP="003952D7">
      <w:pPr>
        <w:jc w:val="both"/>
        <w:rPr>
          <w:rFonts w:ascii="Arial" w:hAnsi="Arial" w:cs="Arial"/>
          <w:b/>
          <w:bCs/>
          <w:sz w:val="36"/>
          <w:szCs w:val="36"/>
          <w:u w:val="single"/>
          <w:lang w:val="en-US"/>
        </w:rPr>
      </w:pPr>
      <w:r w:rsidRPr="00A40891">
        <w:rPr>
          <w:rFonts w:ascii="Arial" w:hAnsi="Arial" w:cs="Arial"/>
          <w:b/>
          <w:color w:val="FF0000"/>
        </w:rPr>
        <w:lastRenderedPageBreak/>
        <w:t xml:space="preserve">                                          </w:t>
      </w:r>
      <w:r w:rsidRPr="00E74773">
        <w:rPr>
          <w:rFonts w:ascii="Arial" w:hAnsi="Arial" w:cs="Arial"/>
          <w:b/>
          <w:bCs/>
          <w:sz w:val="36"/>
          <w:szCs w:val="36"/>
          <w:u w:val="single"/>
          <w:lang w:val="en-US"/>
        </w:rPr>
        <w:t>BUND</w:t>
      </w:r>
      <w:r w:rsidR="00E60B59" w:rsidRPr="00E74773">
        <w:rPr>
          <w:rFonts w:ascii="Arial" w:hAnsi="Arial" w:cs="Arial"/>
          <w:b/>
          <w:bCs/>
          <w:sz w:val="36"/>
          <w:szCs w:val="36"/>
          <w:u w:val="single"/>
          <w:lang w:val="en-US"/>
        </w:rPr>
        <w:t xml:space="preserve">   (week)</w:t>
      </w:r>
    </w:p>
    <w:p w:rsidR="003E1B3F" w:rsidRPr="00E74773" w:rsidRDefault="003E1B3F" w:rsidP="003952D7">
      <w:pPr>
        <w:jc w:val="both"/>
        <w:rPr>
          <w:rFonts w:ascii="Arial" w:hAnsi="Arial" w:cs="Arial"/>
          <w:b/>
          <w:color w:val="FF0000"/>
          <w:lang w:val="en-US"/>
        </w:rPr>
      </w:pPr>
    </w:p>
    <w:p w:rsidR="003E1B3F" w:rsidRPr="00E74773" w:rsidRDefault="00A40891" w:rsidP="003952D7">
      <w:pPr>
        <w:jc w:val="both"/>
        <w:rPr>
          <w:rFonts w:ascii="Arial" w:hAnsi="Arial" w:cs="Arial"/>
          <w:b/>
          <w:color w:val="FF0000"/>
          <w:lang w:val="en-US"/>
        </w:rPr>
      </w:pPr>
      <w:r>
        <w:rPr>
          <w:noProof/>
        </w:rPr>
        <w:drawing>
          <wp:inline distT="0" distB="0" distL="0" distR="0" wp14:anchorId="66E5E3B1" wp14:editId="374C73C4">
            <wp:extent cx="5731510" cy="3486785"/>
            <wp:effectExtent l="0" t="0" r="254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486785"/>
                    </a:xfrm>
                    <a:prstGeom prst="rect">
                      <a:avLst/>
                    </a:prstGeom>
                  </pic:spPr>
                </pic:pic>
              </a:graphicData>
            </a:graphic>
          </wp:inline>
        </w:drawing>
      </w:r>
    </w:p>
    <w:p w:rsidR="003E1B3F" w:rsidRPr="00E74773" w:rsidRDefault="003E1B3F" w:rsidP="003952D7">
      <w:pPr>
        <w:jc w:val="both"/>
        <w:rPr>
          <w:rFonts w:ascii="Arial" w:hAnsi="Arial" w:cs="Arial"/>
          <w:b/>
          <w:color w:val="FF0000"/>
          <w:lang w:val="en-US"/>
        </w:rPr>
      </w:pPr>
    </w:p>
    <w:p w:rsidR="00875D08" w:rsidRDefault="003E1B3F" w:rsidP="00AB20FB">
      <w:pPr>
        <w:jc w:val="both"/>
        <w:rPr>
          <w:rFonts w:ascii="Tahoma" w:hAnsi="Tahoma" w:cs="Tahoma"/>
        </w:rPr>
      </w:pPr>
      <w:r w:rsidRPr="00875D08">
        <w:rPr>
          <w:rFonts w:ascii="Tahoma" w:hAnsi="Tahoma" w:cs="Tahoma"/>
        </w:rPr>
        <w:t xml:space="preserve">- </w:t>
      </w:r>
      <w:r w:rsidR="00875D08" w:rsidRPr="00875D08">
        <w:rPr>
          <w:rFonts w:ascii="Tahoma" w:hAnsi="Tahoma" w:cs="Tahoma"/>
        </w:rPr>
        <w:t>La dernière chandelle prolonge la hausse des prix.</w:t>
      </w:r>
    </w:p>
    <w:p w:rsidR="00875D08" w:rsidRDefault="00875D08" w:rsidP="00AB20FB">
      <w:pPr>
        <w:jc w:val="both"/>
        <w:rPr>
          <w:rFonts w:ascii="Tahoma" w:hAnsi="Tahoma" w:cs="Tahoma"/>
        </w:rPr>
      </w:pPr>
    </w:p>
    <w:p w:rsidR="00875D08" w:rsidRDefault="00875D08" w:rsidP="00AB20FB">
      <w:pPr>
        <w:jc w:val="both"/>
        <w:rPr>
          <w:rFonts w:ascii="Tahoma" w:hAnsi="Tahoma" w:cs="Tahoma"/>
        </w:rPr>
      </w:pPr>
      <w:r>
        <w:rPr>
          <w:rFonts w:ascii="Tahoma" w:hAnsi="Tahoma" w:cs="Tahoma"/>
        </w:rPr>
        <w:t xml:space="preserve">- La </w:t>
      </w:r>
      <w:r w:rsidR="00174D90">
        <w:rPr>
          <w:rFonts w:ascii="Tahoma" w:hAnsi="Tahoma" w:cs="Tahoma"/>
        </w:rPr>
        <w:t>clôture</w:t>
      </w:r>
      <w:r>
        <w:rPr>
          <w:rFonts w:ascii="Tahoma" w:hAnsi="Tahoma" w:cs="Tahoma"/>
        </w:rPr>
        <w:t xml:space="preserve"> sur le plus haut de la semaine permet d’envisager de nouveaux hauts.</w:t>
      </w:r>
    </w:p>
    <w:p w:rsidR="00875D08" w:rsidRDefault="00875D08" w:rsidP="00AB20FB">
      <w:pPr>
        <w:jc w:val="both"/>
        <w:rPr>
          <w:rFonts w:ascii="Tahoma" w:hAnsi="Tahoma" w:cs="Tahoma"/>
        </w:rPr>
      </w:pPr>
    </w:p>
    <w:p w:rsidR="00875D08" w:rsidRDefault="00875D08" w:rsidP="00AB20FB">
      <w:pPr>
        <w:jc w:val="both"/>
        <w:rPr>
          <w:rFonts w:ascii="Tahoma" w:hAnsi="Tahoma" w:cs="Tahoma"/>
        </w:rPr>
      </w:pPr>
      <w:r>
        <w:rPr>
          <w:rFonts w:ascii="Tahoma" w:hAnsi="Tahoma" w:cs="Tahoma"/>
        </w:rPr>
        <w:t>- Le plat de KS de 157.86 servira de support. Il sera renforcé par la bordure haute du nuage sur 157.82.</w:t>
      </w:r>
    </w:p>
    <w:p w:rsidR="00875D08" w:rsidRDefault="00875D08" w:rsidP="00AB20FB">
      <w:pPr>
        <w:jc w:val="both"/>
        <w:rPr>
          <w:rFonts w:ascii="Tahoma" w:hAnsi="Tahoma" w:cs="Tahoma"/>
        </w:rPr>
      </w:pPr>
    </w:p>
    <w:p w:rsidR="00EB61B6" w:rsidRDefault="00875D08" w:rsidP="00AB20FB">
      <w:pPr>
        <w:jc w:val="both"/>
        <w:rPr>
          <w:rFonts w:ascii="Tahoma" w:hAnsi="Tahoma" w:cs="Tahoma"/>
        </w:rPr>
      </w:pPr>
      <w:r>
        <w:rPr>
          <w:rFonts w:ascii="Tahoma" w:hAnsi="Tahoma" w:cs="Tahoma"/>
        </w:rPr>
        <w:t xml:space="preserve">- La LS (qui reprend les </w:t>
      </w:r>
      <w:r w:rsidR="00174D90">
        <w:rPr>
          <w:rFonts w:ascii="Tahoma" w:hAnsi="Tahoma" w:cs="Tahoma"/>
        </w:rPr>
        <w:t>clôtures</w:t>
      </w:r>
      <w:r>
        <w:rPr>
          <w:rFonts w:ascii="Tahoma" w:hAnsi="Tahoma" w:cs="Tahoma"/>
        </w:rPr>
        <w:t xml:space="preserve">) devra se maintenir </w:t>
      </w:r>
      <w:r w:rsidR="00174D90">
        <w:rPr>
          <w:rFonts w:ascii="Tahoma" w:hAnsi="Tahoma" w:cs="Tahoma"/>
        </w:rPr>
        <w:t>au-dessus</w:t>
      </w:r>
      <w:r w:rsidR="003E749D">
        <w:rPr>
          <w:rFonts w:ascii="Tahoma" w:hAnsi="Tahoma" w:cs="Tahoma"/>
        </w:rPr>
        <w:t xml:space="preserve"> de 159.01 pour envisager une poursuite de la hausse.</w:t>
      </w:r>
    </w:p>
    <w:p w:rsidR="00EB61B6" w:rsidRDefault="00EB61B6" w:rsidP="00AB20FB">
      <w:pPr>
        <w:jc w:val="both"/>
        <w:rPr>
          <w:rFonts w:ascii="Tahoma" w:hAnsi="Tahoma" w:cs="Tahoma"/>
        </w:rPr>
      </w:pPr>
    </w:p>
    <w:p w:rsidR="00FD367A" w:rsidRPr="00875D08" w:rsidRDefault="00EB61B6" w:rsidP="00AB20FB">
      <w:pPr>
        <w:jc w:val="both"/>
        <w:rPr>
          <w:rFonts w:ascii="Tahoma" w:hAnsi="Tahoma" w:cs="Tahoma"/>
        </w:rPr>
      </w:pPr>
      <w:r>
        <w:rPr>
          <w:rFonts w:ascii="Tahoma" w:hAnsi="Tahoma" w:cs="Tahoma"/>
        </w:rPr>
        <w:t xml:space="preserve">- </w:t>
      </w:r>
      <w:r w:rsidR="00174D90">
        <w:rPr>
          <w:rFonts w:ascii="Tahoma" w:hAnsi="Tahoma" w:cs="Tahoma"/>
        </w:rPr>
        <w:t>Au-dessus</w:t>
      </w:r>
      <w:r>
        <w:rPr>
          <w:rFonts w:ascii="Tahoma" w:hAnsi="Tahoma" w:cs="Tahoma"/>
        </w:rPr>
        <w:t xml:space="preserve"> de 157.86, la configuration des courbes Ichimoku limite le potentiel de hausse. </w:t>
      </w:r>
      <w:r w:rsidR="003E749D">
        <w:rPr>
          <w:rFonts w:ascii="Tahoma" w:hAnsi="Tahoma" w:cs="Tahoma"/>
        </w:rPr>
        <w:t>Dans ce contexte, l</w:t>
      </w:r>
      <w:r>
        <w:rPr>
          <w:rFonts w:ascii="Tahoma" w:hAnsi="Tahoma" w:cs="Tahoma"/>
        </w:rPr>
        <w:t>a résistance se situera sur 161.12.</w:t>
      </w:r>
    </w:p>
    <w:p w:rsidR="00875D08" w:rsidRPr="00875D08" w:rsidRDefault="00875D08" w:rsidP="00AB20FB">
      <w:pPr>
        <w:jc w:val="both"/>
        <w:rPr>
          <w:rFonts w:ascii="Tahoma" w:hAnsi="Tahoma" w:cs="Tahoma"/>
        </w:rPr>
      </w:pPr>
    </w:p>
    <w:p w:rsidR="00875D08" w:rsidRPr="00875D08" w:rsidRDefault="00875D08" w:rsidP="00AB20FB">
      <w:pPr>
        <w:jc w:val="both"/>
        <w:rPr>
          <w:rFonts w:ascii="Tahoma" w:hAnsi="Tahoma" w:cs="Tahoma"/>
        </w:rPr>
      </w:pPr>
    </w:p>
    <w:p w:rsidR="00875D08" w:rsidRDefault="00875D08"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6E1A3A" w:rsidRDefault="006E1A3A" w:rsidP="00AB20FB">
      <w:pPr>
        <w:jc w:val="both"/>
        <w:rPr>
          <w:rFonts w:ascii="Tahoma" w:hAnsi="Tahoma" w:cs="Tahoma"/>
        </w:rPr>
      </w:pPr>
    </w:p>
    <w:p w:rsidR="003E749D" w:rsidRPr="00875D08" w:rsidRDefault="003E749D" w:rsidP="00AB20FB">
      <w:pPr>
        <w:jc w:val="both"/>
        <w:rPr>
          <w:rFonts w:ascii="Tahoma" w:hAnsi="Tahoma" w:cs="Tahoma"/>
        </w:rPr>
      </w:pPr>
    </w:p>
    <w:p w:rsidR="00875D08" w:rsidRPr="00875D08" w:rsidRDefault="00875D08" w:rsidP="00AB20FB">
      <w:pPr>
        <w:jc w:val="both"/>
        <w:rPr>
          <w:rFonts w:ascii="Tahoma" w:hAnsi="Tahoma" w:cs="Tahoma"/>
        </w:rPr>
      </w:pPr>
    </w:p>
    <w:p w:rsidR="00E60B59" w:rsidRPr="00875D08" w:rsidRDefault="00B35DBD" w:rsidP="003952D7">
      <w:pPr>
        <w:jc w:val="both"/>
        <w:rPr>
          <w:rFonts w:ascii="Arial" w:hAnsi="Arial" w:cs="Arial"/>
          <w:b/>
          <w:bCs/>
          <w:sz w:val="36"/>
          <w:szCs w:val="36"/>
          <w:u w:val="single"/>
        </w:rPr>
      </w:pPr>
      <w:r w:rsidRPr="00875D08">
        <w:rPr>
          <w:rFonts w:ascii="Tahoma" w:hAnsi="Tahoma" w:cs="Tahoma"/>
        </w:rPr>
        <w:lastRenderedPageBreak/>
        <w:t xml:space="preserve">                                       </w:t>
      </w:r>
      <w:r w:rsidRPr="00875D08">
        <w:rPr>
          <w:rFonts w:ascii="Arial" w:hAnsi="Arial" w:cs="Arial"/>
          <w:b/>
          <w:bCs/>
          <w:sz w:val="36"/>
          <w:szCs w:val="36"/>
          <w:u w:val="single"/>
        </w:rPr>
        <w:t>BUND   (day)</w:t>
      </w:r>
    </w:p>
    <w:p w:rsidR="00B35DBD" w:rsidRPr="00875D08" w:rsidRDefault="00B35DBD" w:rsidP="003952D7">
      <w:pPr>
        <w:jc w:val="both"/>
        <w:rPr>
          <w:rFonts w:ascii="Tahoma" w:hAnsi="Tahoma" w:cs="Tahoma"/>
        </w:rPr>
      </w:pPr>
    </w:p>
    <w:p w:rsidR="00B35DBD" w:rsidRPr="00875D08" w:rsidRDefault="00A40891" w:rsidP="003952D7">
      <w:pPr>
        <w:jc w:val="both"/>
        <w:rPr>
          <w:rFonts w:ascii="Arial" w:hAnsi="Arial" w:cs="Arial"/>
          <w:b/>
          <w:color w:val="FF0000"/>
        </w:rPr>
      </w:pPr>
      <w:r>
        <w:rPr>
          <w:noProof/>
        </w:rPr>
        <w:drawing>
          <wp:inline distT="0" distB="0" distL="0" distR="0" wp14:anchorId="44C3A8F9" wp14:editId="0AE4B9F2">
            <wp:extent cx="5731510" cy="3486785"/>
            <wp:effectExtent l="0" t="0" r="254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486785"/>
                    </a:xfrm>
                    <a:prstGeom prst="rect">
                      <a:avLst/>
                    </a:prstGeom>
                  </pic:spPr>
                </pic:pic>
              </a:graphicData>
            </a:graphic>
          </wp:inline>
        </w:drawing>
      </w:r>
    </w:p>
    <w:p w:rsidR="00A84247" w:rsidRPr="00875D08" w:rsidRDefault="00A84247" w:rsidP="003952D7">
      <w:pPr>
        <w:jc w:val="both"/>
        <w:rPr>
          <w:rFonts w:ascii="Arial" w:hAnsi="Arial" w:cs="Arial"/>
          <w:b/>
        </w:rPr>
      </w:pPr>
    </w:p>
    <w:p w:rsidR="00B35DBD" w:rsidRPr="00875D08" w:rsidRDefault="00B35DBD" w:rsidP="003952D7">
      <w:pPr>
        <w:jc w:val="both"/>
        <w:rPr>
          <w:rFonts w:ascii="Arial" w:hAnsi="Arial" w:cs="Arial"/>
          <w:b/>
          <w:color w:val="FF0000"/>
        </w:rPr>
      </w:pPr>
    </w:p>
    <w:p w:rsidR="00C23D35" w:rsidRDefault="00100473" w:rsidP="00AB20FB">
      <w:pPr>
        <w:jc w:val="both"/>
        <w:rPr>
          <w:rFonts w:ascii="Tahoma" w:hAnsi="Tahoma" w:cs="Tahoma"/>
        </w:rPr>
      </w:pPr>
      <w:r w:rsidRPr="00875D08">
        <w:rPr>
          <w:rFonts w:ascii="Tahoma" w:hAnsi="Tahoma" w:cs="Tahoma"/>
        </w:rPr>
        <w:t xml:space="preserve">- La </w:t>
      </w:r>
      <w:r w:rsidR="00727A2F">
        <w:rPr>
          <w:rFonts w:ascii="Tahoma" w:hAnsi="Tahoma" w:cs="Tahoma"/>
        </w:rPr>
        <w:t>cassure de la résistance de 157.80 est validée.</w:t>
      </w:r>
    </w:p>
    <w:p w:rsidR="00727A2F" w:rsidRDefault="00727A2F" w:rsidP="00AB20FB">
      <w:pPr>
        <w:jc w:val="both"/>
        <w:rPr>
          <w:rFonts w:ascii="Tahoma" w:hAnsi="Tahoma" w:cs="Tahoma"/>
        </w:rPr>
      </w:pPr>
    </w:p>
    <w:p w:rsidR="00727A2F" w:rsidRDefault="00727A2F" w:rsidP="00AB20FB">
      <w:pPr>
        <w:jc w:val="both"/>
        <w:rPr>
          <w:rFonts w:ascii="Tahoma" w:hAnsi="Tahoma" w:cs="Tahoma"/>
        </w:rPr>
      </w:pPr>
      <w:r>
        <w:rPr>
          <w:rFonts w:ascii="Tahoma" w:hAnsi="Tahoma" w:cs="Tahoma"/>
        </w:rPr>
        <w:t>- Cette validation est confirmée par le dépassement de la résistance intermédiaire de 158.36.</w:t>
      </w:r>
    </w:p>
    <w:p w:rsidR="00727A2F" w:rsidRDefault="00727A2F" w:rsidP="00AB20FB">
      <w:pPr>
        <w:jc w:val="both"/>
        <w:rPr>
          <w:rFonts w:ascii="Tahoma" w:hAnsi="Tahoma" w:cs="Tahoma"/>
        </w:rPr>
      </w:pPr>
    </w:p>
    <w:p w:rsidR="00727A2F" w:rsidRDefault="00727A2F" w:rsidP="00AB20FB">
      <w:pPr>
        <w:jc w:val="both"/>
        <w:rPr>
          <w:rFonts w:ascii="Tahoma" w:hAnsi="Tahoma" w:cs="Tahoma"/>
        </w:rPr>
      </w:pPr>
      <w:r>
        <w:rPr>
          <w:rFonts w:ascii="Tahoma" w:hAnsi="Tahoma" w:cs="Tahoma"/>
        </w:rPr>
        <w:t xml:space="preserve">- La LS doit maintenant s’établir </w:t>
      </w:r>
      <w:r w:rsidR="00174D90">
        <w:rPr>
          <w:rFonts w:ascii="Tahoma" w:hAnsi="Tahoma" w:cs="Tahoma"/>
        </w:rPr>
        <w:t>au-dessus</w:t>
      </w:r>
      <w:r>
        <w:rPr>
          <w:rFonts w:ascii="Tahoma" w:hAnsi="Tahoma" w:cs="Tahoma"/>
        </w:rPr>
        <w:t xml:space="preserve"> de son nuage pour valider un changement de contexte</w:t>
      </w:r>
      <w:r w:rsidR="003E749D">
        <w:rPr>
          <w:rFonts w:ascii="Tahoma" w:hAnsi="Tahoma" w:cs="Tahoma"/>
        </w:rPr>
        <w:t xml:space="preserve"> sur le court terme</w:t>
      </w:r>
      <w:r>
        <w:rPr>
          <w:rFonts w:ascii="Tahoma" w:hAnsi="Tahoma" w:cs="Tahoma"/>
        </w:rPr>
        <w:t>. Ce nuage formera pour la semaine une zone de résistance comprise entre 159.20 et 159.40.</w:t>
      </w:r>
    </w:p>
    <w:p w:rsidR="00727A2F" w:rsidRDefault="00727A2F" w:rsidP="00AB20FB">
      <w:pPr>
        <w:jc w:val="both"/>
        <w:rPr>
          <w:rFonts w:ascii="Tahoma" w:hAnsi="Tahoma" w:cs="Tahoma"/>
        </w:rPr>
      </w:pPr>
    </w:p>
    <w:p w:rsidR="00727A2F" w:rsidRDefault="00727A2F" w:rsidP="00AB20FB">
      <w:pPr>
        <w:jc w:val="both"/>
        <w:rPr>
          <w:rFonts w:ascii="Tahoma" w:hAnsi="Tahoma" w:cs="Tahoma"/>
        </w:rPr>
      </w:pPr>
      <w:r>
        <w:rPr>
          <w:rFonts w:ascii="Tahoma" w:hAnsi="Tahoma" w:cs="Tahoma"/>
        </w:rPr>
        <w:t>- La dernière chandelle est un pendu. Cette bougie se classe dans les alertes baissières. Elle forme avec la précédente bougie un sommet en pince qui renforce son impact sur les prix</w:t>
      </w:r>
      <w:r w:rsidR="003E749D">
        <w:rPr>
          <w:rFonts w:ascii="Tahoma" w:hAnsi="Tahoma" w:cs="Tahoma"/>
        </w:rPr>
        <w:t xml:space="preserve"> et qui trace une résistance secondaire sur 159.00.</w:t>
      </w:r>
    </w:p>
    <w:p w:rsidR="00727A2F" w:rsidRDefault="00727A2F" w:rsidP="00AB20FB">
      <w:pPr>
        <w:jc w:val="both"/>
        <w:rPr>
          <w:rFonts w:ascii="Tahoma" w:hAnsi="Tahoma" w:cs="Tahoma"/>
        </w:rPr>
      </w:pPr>
    </w:p>
    <w:p w:rsidR="00727A2F" w:rsidRDefault="00727A2F" w:rsidP="00AB20FB">
      <w:pPr>
        <w:jc w:val="both"/>
        <w:rPr>
          <w:rFonts w:ascii="Tahoma" w:hAnsi="Tahoma" w:cs="Tahoma"/>
        </w:rPr>
      </w:pPr>
      <w:r>
        <w:rPr>
          <w:rFonts w:ascii="Tahoma" w:hAnsi="Tahoma" w:cs="Tahoma"/>
        </w:rPr>
        <w:t xml:space="preserve">- </w:t>
      </w:r>
      <w:r w:rsidR="003233B1">
        <w:rPr>
          <w:rFonts w:ascii="Tahoma" w:hAnsi="Tahoma" w:cs="Tahoma"/>
        </w:rPr>
        <w:t>U</w:t>
      </w:r>
      <w:r>
        <w:rPr>
          <w:rFonts w:ascii="Tahoma" w:hAnsi="Tahoma" w:cs="Tahoma"/>
        </w:rPr>
        <w:t>ne cassure de 158.55</w:t>
      </w:r>
      <w:r w:rsidR="003233B1">
        <w:rPr>
          <w:rFonts w:ascii="Tahoma" w:hAnsi="Tahoma" w:cs="Tahoma"/>
        </w:rPr>
        <w:t xml:space="preserve">, point bas du </w:t>
      </w:r>
      <w:r w:rsidR="002F3091">
        <w:rPr>
          <w:rFonts w:ascii="Tahoma" w:hAnsi="Tahoma" w:cs="Tahoma"/>
        </w:rPr>
        <w:t>pendu, amènera</w:t>
      </w:r>
      <w:r>
        <w:rPr>
          <w:rFonts w:ascii="Tahoma" w:hAnsi="Tahoma" w:cs="Tahoma"/>
        </w:rPr>
        <w:t xml:space="preserve"> une partie des haussiers à </w:t>
      </w:r>
      <w:r w:rsidR="00174D90">
        <w:rPr>
          <w:rFonts w:ascii="Tahoma" w:hAnsi="Tahoma" w:cs="Tahoma"/>
        </w:rPr>
        <w:t>protéger</w:t>
      </w:r>
      <w:r>
        <w:rPr>
          <w:rFonts w:ascii="Tahoma" w:hAnsi="Tahoma" w:cs="Tahoma"/>
        </w:rPr>
        <w:t xml:space="preserve"> ou à couper leurs positions, alimentant ainsi un mouvement de baisse.</w:t>
      </w:r>
    </w:p>
    <w:p w:rsidR="00727A2F" w:rsidRDefault="00727A2F" w:rsidP="00AB20FB">
      <w:pPr>
        <w:jc w:val="both"/>
        <w:rPr>
          <w:rFonts w:ascii="Tahoma" w:hAnsi="Tahoma" w:cs="Tahoma"/>
        </w:rPr>
      </w:pPr>
    </w:p>
    <w:p w:rsidR="00727A2F" w:rsidRPr="00875D08" w:rsidRDefault="00727A2F" w:rsidP="00AB20FB">
      <w:pPr>
        <w:jc w:val="both"/>
        <w:rPr>
          <w:rFonts w:ascii="Tahoma" w:hAnsi="Tahoma" w:cs="Tahoma"/>
        </w:rPr>
      </w:pPr>
    </w:p>
    <w:p w:rsidR="00AB20FB" w:rsidRDefault="00AB20FB" w:rsidP="00AB20FB">
      <w:pPr>
        <w:jc w:val="both"/>
        <w:rPr>
          <w:rFonts w:ascii="Tahoma" w:hAnsi="Tahoma" w:cs="Tahoma"/>
        </w:rPr>
      </w:pPr>
    </w:p>
    <w:p w:rsidR="00DD404E" w:rsidRDefault="00DD404E" w:rsidP="00AB20FB">
      <w:pPr>
        <w:jc w:val="both"/>
        <w:rPr>
          <w:rFonts w:ascii="Tahoma" w:hAnsi="Tahoma" w:cs="Tahoma"/>
        </w:rPr>
      </w:pPr>
    </w:p>
    <w:p w:rsidR="00DD404E" w:rsidRDefault="00DD404E" w:rsidP="00AB20FB">
      <w:pPr>
        <w:jc w:val="both"/>
        <w:rPr>
          <w:rFonts w:ascii="Tahoma" w:hAnsi="Tahoma" w:cs="Tahoma"/>
        </w:rPr>
      </w:pPr>
    </w:p>
    <w:p w:rsidR="00DD404E" w:rsidRDefault="00DD404E" w:rsidP="00AB20FB">
      <w:pPr>
        <w:jc w:val="both"/>
        <w:rPr>
          <w:rFonts w:ascii="Tahoma" w:hAnsi="Tahoma" w:cs="Tahoma"/>
        </w:rPr>
      </w:pPr>
    </w:p>
    <w:p w:rsidR="00AB20FB" w:rsidRDefault="00AB20FB" w:rsidP="00AB20FB">
      <w:pPr>
        <w:jc w:val="both"/>
        <w:rPr>
          <w:rFonts w:ascii="Tahoma" w:hAnsi="Tahoma" w:cs="Tahoma"/>
        </w:rPr>
      </w:pPr>
    </w:p>
    <w:p w:rsidR="003E749D" w:rsidRPr="00875D08" w:rsidRDefault="003E749D" w:rsidP="00AB20FB">
      <w:pPr>
        <w:jc w:val="both"/>
        <w:rPr>
          <w:rFonts w:ascii="Tahoma" w:hAnsi="Tahoma" w:cs="Tahoma"/>
        </w:rPr>
      </w:pPr>
    </w:p>
    <w:p w:rsidR="00AB20FB" w:rsidRPr="00875D08" w:rsidRDefault="00AB20FB" w:rsidP="00AB20FB">
      <w:pPr>
        <w:jc w:val="both"/>
        <w:rPr>
          <w:rFonts w:ascii="Tahoma" w:hAnsi="Tahoma" w:cs="Tahoma"/>
        </w:rPr>
      </w:pPr>
    </w:p>
    <w:p w:rsidR="00F72829" w:rsidRPr="00875D08" w:rsidRDefault="004E02D3" w:rsidP="00F72829">
      <w:pPr>
        <w:jc w:val="both"/>
        <w:rPr>
          <w:rFonts w:ascii="Arial" w:hAnsi="Arial" w:cs="Arial"/>
          <w:b/>
          <w:bCs/>
          <w:sz w:val="36"/>
          <w:szCs w:val="36"/>
          <w:u w:val="single"/>
        </w:rPr>
      </w:pPr>
      <w:r w:rsidRPr="00875D08">
        <w:rPr>
          <w:rFonts w:ascii="Arial" w:hAnsi="Arial" w:cs="Arial"/>
          <w:b/>
          <w:bCs/>
          <w:sz w:val="28"/>
          <w:szCs w:val="28"/>
        </w:rPr>
        <w:lastRenderedPageBreak/>
        <w:t xml:space="preserve"> </w:t>
      </w:r>
      <w:r w:rsidR="00F72829" w:rsidRPr="00875D08">
        <w:rPr>
          <w:rFonts w:ascii="Arial" w:hAnsi="Arial" w:cs="Arial"/>
          <w:b/>
          <w:bCs/>
          <w:sz w:val="28"/>
          <w:szCs w:val="28"/>
        </w:rPr>
        <w:t xml:space="preserve">                                      </w:t>
      </w:r>
      <w:r w:rsidR="00F72829" w:rsidRPr="00875D08">
        <w:rPr>
          <w:rFonts w:ascii="Arial" w:hAnsi="Arial" w:cs="Arial"/>
          <w:b/>
          <w:bCs/>
          <w:sz w:val="36"/>
          <w:szCs w:val="36"/>
          <w:u w:val="single"/>
        </w:rPr>
        <w:t xml:space="preserve">10 ans USA </w:t>
      </w:r>
    </w:p>
    <w:p w:rsidR="00F72829" w:rsidRPr="00875D08" w:rsidRDefault="00F72829" w:rsidP="00F72829">
      <w:pPr>
        <w:jc w:val="both"/>
        <w:rPr>
          <w:rFonts w:ascii="Arial" w:hAnsi="Arial" w:cs="Arial"/>
          <w:b/>
          <w:bCs/>
          <w:sz w:val="28"/>
          <w:szCs w:val="28"/>
          <w:u w:val="single"/>
        </w:rPr>
      </w:pPr>
      <w:r w:rsidRPr="00875D08">
        <w:rPr>
          <w:rFonts w:ascii="Arial" w:hAnsi="Arial" w:cs="Arial"/>
          <w:b/>
          <w:bCs/>
          <w:sz w:val="28"/>
          <w:szCs w:val="28"/>
          <w:u w:val="single"/>
        </w:rPr>
        <w:t xml:space="preserve">Daily </w:t>
      </w:r>
    </w:p>
    <w:p w:rsidR="00F72829" w:rsidRPr="00875D08" w:rsidRDefault="0052288F" w:rsidP="00F72829">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81800" cy="3931920"/>
            <wp:effectExtent l="0" t="0" r="0" b="0"/>
            <wp:docPr id="7" name="Image 7" descr="C:\Temp\Bloomberg\temp\bfmF97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Temp\Bloomberg\temp\bfmF978.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82436" cy="3932289"/>
                    </a:xfrm>
                    <a:prstGeom prst="rect">
                      <a:avLst/>
                    </a:prstGeom>
                    <a:noFill/>
                    <a:ln>
                      <a:noFill/>
                    </a:ln>
                  </pic:spPr>
                </pic:pic>
              </a:graphicData>
            </a:graphic>
          </wp:inline>
        </w:drawing>
      </w:r>
    </w:p>
    <w:p w:rsidR="00F72829" w:rsidRPr="00875D08" w:rsidRDefault="00F72829" w:rsidP="00F72829">
      <w:pPr>
        <w:jc w:val="both"/>
        <w:rPr>
          <w:rFonts w:ascii="Arial" w:hAnsi="Arial" w:cs="Arial"/>
          <w:b/>
          <w:bCs/>
          <w:sz w:val="28"/>
          <w:szCs w:val="28"/>
          <w:u w:val="single"/>
        </w:rPr>
      </w:pPr>
      <w:r w:rsidRPr="00875D08">
        <w:rPr>
          <w:rFonts w:ascii="Arial" w:hAnsi="Arial" w:cs="Arial"/>
          <w:b/>
          <w:bCs/>
          <w:sz w:val="28"/>
          <w:szCs w:val="28"/>
          <w:u w:val="single"/>
        </w:rPr>
        <w:t>Weekly</w:t>
      </w:r>
    </w:p>
    <w:p w:rsidR="00F72829" w:rsidRPr="00875D08" w:rsidRDefault="006C10F5" w:rsidP="00F72829">
      <w:pPr>
        <w:tabs>
          <w:tab w:val="left" w:pos="4395"/>
        </w:tabs>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51320" cy="4130040"/>
            <wp:effectExtent l="0" t="0" r="0" b="3810"/>
            <wp:docPr id="8" name="Image 8" descr="C:\Temp\Bloomberg\temp\bfm867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Temp\Bloomberg\temp\bfm867D.b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51951" cy="4130426"/>
                    </a:xfrm>
                    <a:prstGeom prst="rect">
                      <a:avLst/>
                    </a:prstGeom>
                    <a:noFill/>
                    <a:ln>
                      <a:noFill/>
                    </a:ln>
                  </pic:spPr>
                </pic:pic>
              </a:graphicData>
            </a:graphic>
          </wp:inline>
        </w:drawing>
      </w:r>
    </w:p>
    <w:p w:rsidR="00F72829" w:rsidRPr="00875D08" w:rsidRDefault="00F72829" w:rsidP="00BE257A">
      <w:pPr>
        <w:jc w:val="both"/>
        <w:rPr>
          <w:rFonts w:ascii="Arial" w:hAnsi="Arial" w:cs="Arial"/>
          <w:b/>
          <w:sz w:val="28"/>
          <w:szCs w:val="28"/>
          <w:u w:val="single"/>
        </w:rPr>
      </w:pPr>
      <w:r w:rsidRPr="00875D08">
        <w:rPr>
          <w:rFonts w:ascii="Arial" w:hAnsi="Arial" w:cs="Arial"/>
          <w:b/>
          <w:sz w:val="28"/>
          <w:szCs w:val="28"/>
          <w:u w:val="single"/>
        </w:rPr>
        <w:lastRenderedPageBreak/>
        <w:t>Monthly</w:t>
      </w:r>
    </w:p>
    <w:p w:rsidR="00A741BF" w:rsidRPr="00875D08" w:rsidRDefault="006C10F5" w:rsidP="00151611">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13220" cy="3482340"/>
            <wp:effectExtent l="0" t="0" r="0" b="3810"/>
            <wp:docPr id="9" name="Image 9" descr="C:\Temp\Bloomberg\temp\bfm6B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Temp\Bloomberg\temp\bfm6B5.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13855" cy="3482669"/>
                    </a:xfrm>
                    <a:prstGeom prst="rect">
                      <a:avLst/>
                    </a:prstGeom>
                    <a:noFill/>
                    <a:ln>
                      <a:noFill/>
                    </a:ln>
                  </pic:spPr>
                </pic:pic>
              </a:graphicData>
            </a:graphic>
          </wp:inline>
        </w:drawing>
      </w:r>
    </w:p>
    <w:p w:rsidR="00264ECA" w:rsidRPr="00CE068E" w:rsidRDefault="00264ECA" w:rsidP="00151611">
      <w:pPr>
        <w:ind w:left="-850"/>
        <w:jc w:val="both"/>
        <w:rPr>
          <w:rFonts w:ascii="Arial" w:hAnsi="Arial" w:cs="Arial"/>
          <w:b/>
          <w:bCs/>
          <w:sz w:val="28"/>
          <w:szCs w:val="28"/>
          <w:u w:val="single"/>
        </w:rPr>
      </w:pPr>
    </w:p>
    <w:p w:rsidR="00281F6C" w:rsidRDefault="00CF7FF8" w:rsidP="00AB20FB">
      <w:pPr>
        <w:jc w:val="both"/>
        <w:rPr>
          <w:rFonts w:ascii="Tahoma" w:hAnsi="Tahoma" w:cs="Tahoma"/>
          <w:bCs/>
        </w:rPr>
      </w:pPr>
      <w:r w:rsidRPr="00F950A8">
        <w:rPr>
          <w:rFonts w:ascii="Arial" w:hAnsi="Arial" w:cs="Arial"/>
          <w:b/>
          <w:bCs/>
        </w:rPr>
        <w:t xml:space="preserve">D : </w:t>
      </w:r>
      <w:r w:rsidR="00BE6BD9">
        <w:rPr>
          <w:rFonts w:ascii="Tahoma" w:hAnsi="Tahoma" w:cs="Tahoma"/>
          <w:bCs/>
        </w:rPr>
        <w:t>L</w:t>
      </w:r>
      <w:r w:rsidR="00A2391D">
        <w:rPr>
          <w:rFonts w:ascii="Tahoma" w:hAnsi="Tahoma" w:cs="Tahoma"/>
          <w:bCs/>
        </w:rPr>
        <w:t xml:space="preserve">e </w:t>
      </w:r>
      <w:r w:rsidR="00CE068E">
        <w:rPr>
          <w:rFonts w:ascii="Tahoma" w:hAnsi="Tahoma" w:cs="Tahoma"/>
          <w:bCs/>
        </w:rPr>
        <w:t xml:space="preserve">10 ans US continue de consolider </w:t>
      </w:r>
      <w:r w:rsidR="00932B93">
        <w:rPr>
          <w:rFonts w:ascii="Tahoma" w:hAnsi="Tahoma" w:cs="Tahoma"/>
          <w:bCs/>
        </w:rPr>
        <w:t>au-dessus</w:t>
      </w:r>
      <w:r w:rsidR="00CE068E">
        <w:rPr>
          <w:rFonts w:ascii="Tahoma" w:hAnsi="Tahoma" w:cs="Tahoma"/>
          <w:bCs/>
        </w:rPr>
        <w:t xml:space="preserve"> du support horizontal de 2.80.</w:t>
      </w:r>
    </w:p>
    <w:p w:rsidR="00CE068E" w:rsidRDefault="00CE068E" w:rsidP="00AB20FB">
      <w:pPr>
        <w:jc w:val="both"/>
        <w:rPr>
          <w:rFonts w:ascii="Tahoma" w:hAnsi="Tahoma" w:cs="Tahoma"/>
          <w:bCs/>
        </w:rPr>
      </w:pPr>
      <w:r>
        <w:rPr>
          <w:rFonts w:ascii="Tahoma" w:hAnsi="Tahoma" w:cs="Tahoma"/>
          <w:bCs/>
        </w:rPr>
        <w:t>La sortie de cette phase de consolidation passera soit par une cassure de 2.80 soit par un dépassement du haut récent de 2.95.</w:t>
      </w:r>
    </w:p>
    <w:p w:rsidR="00CE068E" w:rsidRPr="00F950A8" w:rsidRDefault="000D17A4" w:rsidP="00AB20FB">
      <w:pPr>
        <w:jc w:val="both"/>
        <w:rPr>
          <w:rFonts w:ascii="Tahoma" w:hAnsi="Tahoma" w:cs="Tahoma"/>
          <w:bCs/>
        </w:rPr>
      </w:pPr>
      <w:r>
        <w:rPr>
          <w:rFonts w:ascii="Tahoma" w:hAnsi="Tahoma" w:cs="Tahoma"/>
          <w:bCs/>
        </w:rPr>
        <w:t>Les plats</w:t>
      </w:r>
      <w:r w:rsidR="00CE068E">
        <w:rPr>
          <w:rFonts w:ascii="Tahoma" w:hAnsi="Tahoma" w:cs="Tahoma"/>
          <w:bCs/>
        </w:rPr>
        <w:t xml:space="preserve"> des </w:t>
      </w:r>
      <w:r w:rsidR="00932B93">
        <w:rPr>
          <w:rFonts w:ascii="Tahoma" w:hAnsi="Tahoma" w:cs="Tahoma"/>
          <w:bCs/>
        </w:rPr>
        <w:t>différentes</w:t>
      </w:r>
      <w:r>
        <w:rPr>
          <w:rFonts w:ascii="Tahoma" w:hAnsi="Tahoma" w:cs="Tahoma"/>
          <w:bCs/>
        </w:rPr>
        <w:t xml:space="preserve"> courbes Ichimoku confirment</w:t>
      </w:r>
      <w:r w:rsidR="00CE068E">
        <w:rPr>
          <w:rFonts w:ascii="Tahoma" w:hAnsi="Tahoma" w:cs="Tahoma"/>
          <w:bCs/>
        </w:rPr>
        <w:t xml:space="preserve"> l’absence de tendance où TS et KS tracent une ligne pivot sur 2.86.</w:t>
      </w:r>
    </w:p>
    <w:p w:rsidR="00CF7FF8" w:rsidRPr="00F950A8" w:rsidRDefault="00CF7FF8" w:rsidP="00CF7FF8">
      <w:pPr>
        <w:jc w:val="both"/>
        <w:rPr>
          <w:rFonts w:ascii="Tahoma" w:hAnsi="Tahoma" w:cs="Tahoma"/>
          <w:bCs/>
        </w:rPr>
      </w:pPr>
      <w:r w:rsidRPr="00F950A8">
        <w:rPr>
          <w:rFonts w:ascii="Tahoma" w:hAnsi="Tahoma" w:cs="Tahoma"/>
          <w:bCs/>
        </w:rPr>
        <w:t xml:space="preserve">  </w:t>
      </w:r>
    </w:p>
    <w:p w:rsidR="00A665E7" w:rsidRDefault="00CF7FF8" w:rsidP="00E01395">
      <w:pPr>
        <w:jc w:val="both"/>
        <w:rPr>
          <w:rFonts w:ascii="Tahoma" w:hAnsi="Tahoma" w:cs="Tahoma"/>
          <w:bCs/>
        </w:rPr>
      </w:pPr>
      <w:r w:rsidRPr="00F950A8">
        <w:rPr>
          <w:rFonts w:ascii="Arial" w:hAnsi="Arial" w:cs="Arial"/>
          <w:b/>
          <w:bCs/>
        </w:rPr>
        <w:t xml:space="preserve">W : </w:t>
      </w:r>
      <w:r w:rsidR="00DC3BB3">
        <w:rPr>
          <w:rFonts w:ascii="Tahoma" w:hAnsi="Tahoma" w:cs="Tahoma"/>
          <w:bCs/>
        </w:rPr>
        <w:t>L</w:t>
      </w:r>
      <w:r w:rsidR="00F139AF">
        <w:rPr>
          <w:rFonts w:ascii="Tahoma" w:hAnsi="Tahoma" w:cs="Tahoma"/>
          <w:bCs/>
        </w:rPr>
        <w:t xml:space="preserve">a dérive latérale ne remet pas en question </w:t>
      </w:r>
      <w:r w:rsidR="00337BE0">
        <w:rPr>
          <w:rFonts w:ascii="Tahoma" w:hAnsi="Tahoma" w:cs="Tahoma"/>
          <w:bCs/>
        </w:rPr>
        <w:t>le</w:t>
      </w:r>
      <w:r w:rsidR="00F139AF">
        <w:rPr>
          <w:rFonts w:ascii="Tahoma" w:hAnsi="Tahoma" w:cs="Tahoma"/>
          <w:bCs/>
        </w:rPr>
        <w:t xml:space="preserve"> contexte haussier </w:t>
      </w:r>
      <w:r w:rsidR="00337BE0">
        <w:rPr>
          <w:rFonts w:ascii="Tahoma" w:hAnsi="Tahoma" w:cs="Tahoma"/>
          <w:bCs/>
        </w:rPr>
        <w:t>de</w:t>
      </w:r>
      <w:r w:rsidR="00F139AF">
        <w:rPr>
          <w:rFonts w:ascii="Tahoma" w:hAnsi="Tahoma" w:cs="Tahoma"/>
          <w:bCs/>
        </w:rPr>
        <w:t xml:space="preserve"> moyen terme.</w:t>
      </w:r>
      <w:r w:rsidR="00337BE0">
        <w:rPr>
          <w:rFonts w:ascii="Tahoma" w:hAnsi="Tahoma" w:cs="Tahoma"/>
          <w:bCs/>
        </w:rPr>
        <w:t xml:space="preserve"> Dans cet environnement, la TS s’aplatira au cours des prochaines semaines sur 2.80 pour renforcer le support horizontal de la dérive latérale de court terme.</w:t>
      </w:r>
    </w:p>
    <w:p w:rsidR="00A665E7" w:rsidRDefault="00A665E7" w:rsidP="00E01395">
      <w:pPr>
        <w:jc w:val="both"/>
        <w:rPr>
          <w:rFonts w:ascii="Tahoma" w:hAnsi="Tahoma" w:cs="Tahoma"/>
          <w:bCs/>
        </w:rPr>
      </w:pPr>
      <w:r>
        <w:rPr>
          <w:rFonts w:ascii="Tahoma" w:hAnsi="Tahoma" w:cs="Tahoma"/>
          <w:bCs/>
        </w:rPr>
        <w:t>La cassure de la TS orientera le marché sur l’ancienne résistance de 2.63.</w:t>
      </w:r>
    </w:p>
    <w:p w:rsidR="00F72829" w:rsidRPr="00432974" w:rsidRDefault="00F72829" w:rsidP="00432974">
      <w:pPr>
        <w:jc w:val="both"/>
        <w:rPr>
          <w:rFonts w:ascii="Tahoma" w:hAnsi="Tahoma" w:cs="Tahoma"/>
          <w:bCs/>
        </w:rPr>
      </w:pPr>
    </w:p>
    <w:p w:rsidR="00C620BE" w:rsidRPr="00A665E7" w:rsidRDefault="00F72829" w:rsidP="00F72829">
      <w:pPr>
        <w:tabs>
          <w:tab w:val="left" w:pos="5868"/>
        </w:tabs>
        <w:autoSpaceDE w:val="0"/>
        <w:jc w:val="both"/>
        <w:rPr>
          <w:rFonts w:ascii="Tahoma" w:hAnsi="Tahoma" w:cs="Tahoma"/>
        </w:rPr>
      </w:pPr>
      <w:r w:rsidRPr="00A665E7">
        <w:rPr>
          <w:rFonts w:ascii="Arial" w:hAnsi="Arial" w:cs="Arial"/>
          <w:b/>
          <w:bCs/>
        </w:rPr>
        <w:t>M</w:t>
      </w:r>
      <w:r w:rsidRPr="00A665E7">
        <w:rPr>
          <w:rFonts w:ascii="Tahoma" w:hAnsi="Tahoma" w:cs="Tahoma"/>
        </w:rPr>
        <w:t xml:space="preserve"> : </w:t>
      </w:r>
      <w:r w:rsidR="00077732" w:rsidRPr="00A665E7">
        <w:rPr>
          <w:rFonts w:ascii="Tahoma" w:hAnsi="Tahoma" w:cs="Tahoma"/>
        </w:rPr>
        <w:t>Pas de remise en question du mouvement haussier de long terme tant que le plat de nuage de 2.69 servira de support à la LS.</w:t>
      </w:r>
      <w:r w:rsidR="00367239" w:rsidRPr="00A665E7">
        <w:rPr>
          <w:rFonts w:ascii="Tahoma" w:hAnsi="Tahoma" w:cs="Tahoma"/>
        </w:rPr>
        <w:t xml:space="preserve"> </w:t>
      </w:r>
    </w:p>
    <w:p w:rsidR="00C620BE" w:rsidRPr="00AB20FB" w:rsidRDefault="00C620BE" w:rsidP="00F72829">
      <w:pPr>
        <w:tabs>
          <w:tab w:val="left" w:pos="5868"/>
        </w:tabs>
        <w:autoSpaceDE w:val="0"/>
        <w:jc w:val="both"/>
        <w:rPr>
          <w:rFonts w:ascii="Tahoma" w:hAnsi="Tahoma" w:cs="Tahoma"/>
          <w:color w:val="FF0000"/>
        </w:rPr>
      </w:pPr>
    </w:p>
    <w:p w:rsidR="0093766C" w:rsidRPr="00AB20FB" w:rsidRDefault="0093766C" w:rsidP="00F72829">
      <w:pPr>
        <w:tabs>
          <w:tab w:val="left" w:pos="5868"/>
        </w:tabs>
        <w:autoSpaceDE w:val="0"/>
        <w:jc w:val="both"/>
        <w:rPr>
          <w:rFonts w:ascii="Arial" w:hAnsi="Arial" w:cs="Arial"/>
          <w:b/>
          <w:bCs/>
          <w:color w:val="FF0000"/>
        </w:rPr>
      </w:pPr>
    </w:p>
    <w:p w:rsidR="00B018B5" w:rsidRPr="00A665E7" w:rsidRDefault="00F72829" w:rsidP="00077732">
      <w:pPr>
        <w:jc w:val="both"/>
        <w:rPr>
          <w:rFonts w:ascii="Arial" w:hAnsi="Arial" w:cs="Arial"/>
          <w:b/>
          <w:color w:val="00B050"/>
        </w:rPr>
      </w:pPr>
      <w:r w:rsidRPr="00A665E7">
        <w:rPr>
          <w:rFonts w:ascii="Arial" w:hAnsi="Arial" w:cs="Arial"/>
          <w:b/>
          <w:color w:val="00B050"/>
          <w:u w:val="single"/>
        </w:rPr>
        <w:t>HEBDOMADAIRE</w:t>
      </w:r>
      <w:r w:rsidRPr="00A665E7">
        <w:rPr>
          <w:rFonts w:ascii="Arial" w:hAnsi="Arial" w:cs="Arial"/>
          <w:b/>
          <w:color w:val="00B050"/>
        </w:rPr>
        <w:t xml:space="preserve"> : </w:t>
      </w:r>
      <w:r w:rsidR="00077732" w:rsidRPr="00A665E7">
        <w:rPr>
          <w:rFonts w:ascii="Arial" w:hAnsi="Arial" w:cs="Arial"/>
          <w:b/>
          <w:color w:val="00B050"/>
        </w:rPr>
        <w:t>Le marché consolide</w:t>
      </w:r>
      <w:r w:rsidR="009D6F55">
        <w:rPr>
          <w:rFonts w:ascii="Arial" w:hAnsi="Arial" w:cs="Arial"/>
          <w:b/>
          <w:color w:val="00B050"/>
        </w:rPr>
        <w:t>.</w:t>
      </w:r>
      <w:r w:rsidR="00077732" w:rsidRPr="00A665E7">
        <w:rPr>
          <w:rFonts w:ascii="Arial" w:hAnsi="Arial" w:cs="Arial"/>
          <w:b/>
          <w:color w:val="00B050"/>
        </w:rPr>
        <w:t xml:space="preserve"> </w:t>
      </w:r>
      <w:r w:rsidR="009D6F55">
        <w:rPr>
          <w:rFonts w:ascii="Arial" w:hAnsi="Arial" w:cs="Arial"/>
          <w:b/>
          <w:color w:val="00B050"/>
        </w:rPr>
        <w:t>L</w:t>
      </w:r>
      <w:r w:rsidR="00077732" w:rsidRPr="00A665E7">
        <w:rPr>
          <w:rFonts w:ascii="Arial" w:hAnsi="Arial" w:cs="Arial"/>
          <w:b/>
          <w:color w:val="00B050"/>
        </w:rPr>
        <w:t xml:space="preserve">e support se situe sur 2.80 et </w:t>
      </w:r>
      <w:r w:rsidR="00A665E7" w:rsidRPr="00A665E7">
        <w:rPr>
          <w:rFonts w:ascii="Arial" w:hAnsi="Arial" w:cs="Arial"/>
          <w:b/>
          <w:color w:val="00B050"/>
        </w:rPr>
        <w:t>la résistance sur 2.95</w:t>
      </w:r>
      <w:r w:rsidR="00077732" w:rsidRPr="00A665E7">
        <w:rPr>
          <w:rFonts w:ascii="Arial" w:hAnsi="Arial" w:cs="Arial"/>
          <w:b/>
          <w:color w:val="00B050"/>
        </w:rPr>
        <w:t>.</w:t>
      </w:r>
    </w:p>
    <w:p w:rsidR="00AB20FB" w:rsidRPr="00A665E7" w:rsidRDefault="000A4A04" w:rsidP="00BE257A">
      <w:pPr>
        <w:jc w:val="both"/>
        <w:rPr>
          <w:rFonts w:ascii="Arial" w:hAnsi="Arial" w:cs="Arial"/>
          <w:b/>
          <w:bCs/>
          <w:color w:val="00B050"/>
          <w:sz w:val="28"/>
          <w:szCs w:val="28"/>
        </w:rPr>
      </w:pPr>
      <w:r w:rsidRPr="00A665E7">
        <w:rPr>
          <w:rFonts w:ascii="Arial" w:hAnsi="Arial" w:cs="Arial"/>
          <w:b/>
          <w:color w:val="00B050"/>
        </w:rPr>
        <w:t>Pour le moment aucun biais n’est avantagé d’autant plus que sur les unités de temps plus longues, il n’y a pas de signes d’affaiblissement de tendance.</w:t>
      </w:r>
      <w:r w:rsidR="00F72829" w:rsidRPr="00A665E7">
        <w:rPr>
          <w:rFonts w:ascii="Arial" w:hAnsi="Arial" w:cs="Arial"/>
          <w:b/>
          <w:bCs/>
          <w:color w:val="00B050"/>
          <w:sz w:val="28"/>
          <w:szCs w:val="28"/>
        </w:rPr>
        <w:t xml:space="preserve">  </w:t>
      </w:r>
    </w:p>
    <w:p w:rsidR="00AB20FB" w:rsidRDefault="00AB20FB" w:rsidP="00BE257A">
      <w:pPr>
        <w:jc w:val="both"/>
        <w:rPr>
          <w:rFonts w:ascii="Arial" w:hAnsi="Arial" w:cs="Arial"/>
          <w:b/>
          <w:bCs/>
          <w:color w:val="FF0000"/>
          <w:sz w:val="28"/>
          <w:szCs w:val="28"/>
        </w:rPr>
      </w:pPr>
    </w:p>
    <w:p w:rsidR="00726F34" w:rsidRDefault="00726F34" w:rsidP="00BE257A">
      <w:pPr>
        <w:jc w:val="both"/>
        <w:rPr>
          <w:rFonts w:ascii="Arial" w:hAnsi="Arial" w:cs="Arial"/>
          <w:b/>
          <w:bCs/>
          <w:color w:val="FF0000"/>
          <w:sz w:val="28"/>
          <w:szCs w:val="28"/>
        </w:rPr>
      </w:pPr>
    </w:p>
    <w:p w:rsidR="00726F34" w:rsidRPr="009E26FC" w:rsidRDefault="00A665E7" w:rsidP="00726F34">
      <w:pPr>
        <w:jc w:val="both"/>
        <w:rPr>
          <w:rFonts w:ascii="Arial" w:hAnsi="Arial" w:cs="Arial"/>
          <w:b/>
          <w:u w:val="single"/>
        </w:rPr>
      </w:pPr>
      <w:r>
        <w:rPr>
          <w:rFonts w:ascii="Arial" w:hAnsi="Arial" w:cs="Arial"/>
          <w:b/>
          <w:u w:val="single"/>
        </w:rPr>
        <w:t xml:space="preserve">MENSUEL : </w:t>
      </w:r>
      <w:r w:rsidR="00726F34" w:rsidRPr="009E26FC">
        <w:rPr>
          <w:rFonts w:ascii="Arial" w:hAnsi="Arial" w:cs="Arial"/>
          <w:b/>
          <w:u w:val="single"/>
        </w:rPr>
        <w:t>Le taux consolide sur un horizon de temps court entre un support à 2.80 et une résistance à 2.95.</w:t>
      </w:r>
    </w:p>
    <w:p w:rsidR="00726F34" w:rsidRPr="009E26FC" w:rsidRDefault="00726F34" w:rsidP="00726F34">
      <w:pPr>
        <w:jc w:val="both"/>
        <w:rPr>
          <w:rFonts w:ascii="Arial" w:hAnsi="Arial" w:cs="Arial"/>
          <w:b/>
          <w:u w:val="single"/>
        </w:rPr>
      </w:pPr>
      <w:r w:rsidRPr="009E26FC">
        <w:rPr>
          <w:rFonts w:ascii="Arial" w:hAnsi="Arial" w:cs="Arial"/>
          <w:b/>
          <w:u w:val="single"/>
        </w:rPr>
        <w:t xml:space="preserve">Pour ne pas remettre en question le biais haussier, une rupture baissière devra se </w:t>
      </w:r>
      <w:r w:rsidR="009D6F55">
        <w:rPr>
          <w:rFonts w:ascii="Arial" w:hAnsi="Arial" w:cs="Arial"/>
          <w:b/>
          <w:u w:val="single"/>
        </w:rPr>
        <w:t>restreindre</w:t>
      </w:r>
      <w:r w:rsidRPr="009E26FC">
        <w:rPr>
          <w:rFonts w:ascii="Arial" w:hAnsi="Arial" w:cs="Arial"/>
          <w:b/>
          <w:u w:val="single"/>
        </w:rPr>
        <w:t xml:space="preserve"> à l’ancienne résistance de 2.63. </w:t>
      </w:r>
    </w:p>
    <w:p w:rsidR="00D43DAB" w:rsidRPr="00DD404E" w:rsidRDefault="00726F34" w:rsidP="00BE257A">
      <w:pPr>
        <w:jc w:val="both"/>
        <w:rPr>
          <w:rFonts w:ascii="Arial" w:hAnsi="Arial" w:cs="Arial"/>
          <w:b/>
          <w:u w:val="single"/>
        </w:rPr>
      </w:pPr>
      <w:r w:rsidRPr="009E26FC">
        <w:rPr>
          <w:rFonts w:ascii="Arial" w:hAnsi="Arial" w:cs="Arial"/>
          <w:b/>
          <w:u w:val="single"/>
        </w:rPr>
        <w:t>L’objectif de hausse devrait se limiter dans un premier temps à 3.05 avant d’envisager l’objectif de long terme de 3.68.</w:t>
      </w:r>
      <w:r w:rsidR="00F72829" w:rsidRPr="00726F34">
        <w:rPr>
          <w:rFonts w:ascii="Arial" w:hAnsi="Arial" w:cs="Arial"/>
          <w:b/>
          <w:bCs/>
          <w:color w:val="FF0000"/>
          <w:sz w:val="28"/>
          <w:szCs w:val="28"/>
        </w:rPr>
        <w:t xml:space="preserve">    </w:t>
      </w:r>
    </w:p>
    <w:p w:rsidR="00D43DAB" w:rsidRPr="00DD404E" w:rsidRDefault="00D43DAB" w:rsidP="00D43DAB">
      <w:pPr>
        <w:jc w:val="both"/>
        <w:rPr>
          <w:rFonts w:ascii="Arial" w:hAnsi="Arial" w:cs="Arial"/>
          <w:b/>
          <w:bCs/>
          <w:sz w:val="36"/>
          <w:szCs w:val="36"/>
          <w:u w:val="single"/>
        </w:rPr>
      </w:pPr>
      <w:r w:rsidRPr="00726F34">
        <w:rPr>
          <w:rFonts w:ascii="Arial" w:hAnsi="Arial" w:cs="Arial"/>
          <w:b/>
          <w:bCs/>
          <w:sz w:val="36"/>
          <w:szCs w:val="36"/>
        </w:rPr>
        <w:lastRenderedPageBreak/>
        <w:t xml:space="preserve">     </w:t>
      </w:r>
      <w:r w:rsidR="00292AF0" w:rsidRPr="00726F34">
        <w:rPr>
          <w:rFonts w:ascii="Arial" w:hAnsi="Arial" w:cs="Arial"/>
          <w:b/>
          <w:bCs/>
          <w:sz w:val="36"/>
          <w:szCs w:val="36"/>
        </w:rPr>
        <w:t xml:space="preserve">                       </w:t>
      </w:r>
      <w:r w:rsidRPr="00726F34">
        <w:rPr>
          <w:rFonts w:ascii="Arial" w:hAnsi="Arial" w:cs="Arial"/>
          <w:b/>
          <w:bCs/>
          <w:sz w:val="36"/>
          <w:szCs w:val="36"/>
        </w:rPr>
        <w:t xml:space="preserve"> </w:t>
      </w:r>
      <w:r w:rsidRPr="00DD404E">
        <w:rPr>
          <w:rFonts w:ascii="Arial" w:hAnsi="Arial" w:cs="Arial"/>
          <w:b/>
          <w:bCs/>
          <w:sz w:val="36"/>
          <w:szCs w:val="36"/>
          <w:u w:val="single"/>
        </w:rPr>
        <w:t xml:space="preserve">10 ans UK </w:t>
      </w:r>
    </w:p>
    <w:p w:rsidR="00D43DAB" w:rsidRPr="00DD404E" w:rsidRDefault="00D43DAB" w:rsidP="00D43DAB">
      <w:pPr>
        <w:jc w:val="both"/>
        <w:rPr>
          <w:rFonts w:ascii="Arial" w:hAnsi="Arial" w:cs="Arial"/>
          <w:b/>
          <w:bCs/>
          <w:sz w:val="28"/>
          <w:szCs w:val="28"/>
          <w:u w:val="single"/>
        </w:rPr>
      </w:pPr>
      <w:r w:rsidRPr="00DD404E">
        <w:rPr>
          <w:rFonts w:ascii="Arial" w:hAnsi="Arial" w:cs="Arial"/>
          <w:b/>
          <w:bCs/>
          <w:sz w:val="28"/>
          <w:szCs w:val="28"/>
          <w:u w:val="single"/>
        </w:rPr>
        <w:t xml:space="preserve">Daily </w:t>
      </w:r>
    </w:p>
    <w:p w:rsidR="00D43DAB" w:rsidRPr="00DD404E" w:rsidRDefault="00D52828" w:rsidP="00D43DAB">
      <w:pPr>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58940" cy="3901440"/>
            <wp:effectExtent l="0" t="0" r="3810" b="3810"/>
            <wp:docPr id="10" name="Image 10" descr="C:\Temp\Bloomberg\temp\bfmB7A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Temp\Bloomberg\temp\bfmB7AD.b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59579" cy="3901809"/>
                    </a:xfrm>
                    <a:prstGeom prst="rect">
                      <a:avLst/>
                    </a:prstGeom>
                    <a:noFill/>
                    <a:ln>
                      <a:noFill/>
                    </a:ln>
                  </pic:spPr>
                </pic:pic>
              </a:graphicData>
            </a:graphic>
          </wp:inline>
        </w:drawing>
      </w:r>
    </w:p>
    <w:p w:rsidR="00D43DAB" w:rsidRPr="00DD404E" w:rsidRDefault="00D43DAB" w:rsidP="00D43DAB">
      <w:pPr>
        <w:jc w:val="both"/>
        <w:rPr>
          <w:rFonts w:ascii="Arial" w:hAnsi="Arial" w:cs="Arial"/>
          <w:b/>
          <w:bCs/>
          <w:sz w:val="28"/>
          <w:szCs w:val="28"/>
          <w:u w:val="single"/>
        </w:rPr>
      </w:pPr>
      <w:r w:rsidRPr="00DD404E">
        <w:rPr>
          <w:rFonts w:ascii="Arial" w:hAnsi="Arial" w:cs="Arial"/>
          <w:b/>
          <w:bCs/>
          <w:sz w:val="28"/>
          <w:szCs w:val="28"/>
          <w:u w:val="single"/>
        </w:rPr>
        <w:t>Weekly</w:t>
      </w:r>
    </w:p>
    <w:p w:rsidR="00D43DAB" w:rsidRPr="00DD404E" w:rsidRDefault="00D52828" w:rsidP="00D43DAB">
      <w:pPr>
        <w:tabs>
          <w:tab w:val="left" w:pos="4395"/>
        </w:tabs>
        <w:ind w:left="-850"/>
        <w:jc w:val="both"/>
        <w:rPr>
          <w:rFonts w:ascii="Arial" w:hAnsi="Arial" w:cs="Arial"/>
          <w:b/>
          <w:bCs/>
          <w:sz w:val="28"/>
          <w:szCs w:val="28"/>
          <w:u w:val="single"/>
        </w:rPr>
      </w:pPr>
      <w:r>
        <w:rPr>
          <w:rFonts w:ascii="Arial" w:hAnsi="Arial" w:cs="Arial"/>
          <w:b/>
          <w:bCs/>
          <w:noProof/>
          <w:sz w:val="28"/>
          <w:szCs w:val="28"/>
          <w:u w:val="single"/>
        </w:rPr>
        <w:drawing>
          <wp:inline distT="0" distB="0" distL="0" distR="0">
            <wp:extent cx="6758940" cy="4130040"/>
            <wp:effectExtent l="0" t="0" r="3810" b="3810"/>
            <wp:docPr id="11" name="Image 11" descr="C:\Temp\Bloomberg\temp\bfm7F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Temp\Bloomberg\temp\bfm7F0.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59570" cy="4130425"/>
                    </a:xfrm>
                    <a:prstGeom prst="rect">
                      <a:avLst/>
                    </a:prstGeom>
                    <a:noFill/>
                    <a:ln>
                      <a:noFill/>
                    </a:ln>
                  </pic:spPr>
                </pic:pic>
              </a:graphicData>
            </a:graphic>
          </wp:inline>
        </w:drawing>
      </w:r>
    </w:p>
    <w:p w:rsidR="00D43DAB" w:rsidRPr="00DD404E" w:rsidRDefault="00D43DAB" w:rsidP="00D43DAB">
      <w:pPr>
        <w:jc w:val="both"/>
        <w:rPr>
          <w:rFonts w:ascii="Arial" w:hAnsi="Arial" w:cs="Arial"/>
          <w:b/>
          <w:sz w:val="28"/>
          <w:szCs w:val="28"/>
          <w:u w:val="single"/>
        </w:rPr>
      </w:pPr>
      <w:r w:rsidRPr="00DD404E">
        <w:rPr>
          <w:rFonts w:ascii="Arial" w:hAnsi="Arial" w:cs="Arial"/>
          <w:b/>
          <w:sz w:val="28"/>
          <w:szCs w:val="28"/>
          <w:u w:val="single"/>
        </w:rPr>
        <w:lastRenderedPageBreak/>
        <w:t>Monthly</w:t>
      </w:r>
    </w:p>
    <w:p w:rsidR="00292AF0" w:rsidRPr="00DD404E" w:rsidRDefault="00D52828" w:rsidP="00292AF0">
      <w:pPr>
        <w:ind w:left="-850"/>
        <w:jc w:val="both"/>
        <w:rPr>
          <w:rFonts w:ascii="Arial" w:hAnsi="Arial" w:cs="Arial"/>
          <w:b/>
          <w:bCs/>
        </w:rPr>
      </w:pPr>
      <w:r>
        <w:rPr>
          <w:rFonts w:ascii="Arial" w:hAnsi="Arial" w:cs="Arial"/>
          <w:b/>
          <w:noProof/>
          <w:sz w:val="28"/>
          <w:szCs w:val="28"/>
        </w:rPr>
        <w:drawing>
          <wp:inline distT="0" distB="0" distL="0" distR="0">
            <wp:extent cx="6797040" cy="4130040"/>
            <wp:effectExtent l="0" t="0" r="3810" b="3810"/>
            <wp:docPr id="12" name="Image 12" descr="C:\Temp\Bloomberg\temp\bfmCCE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Temp\Bloomberg\temp\bfmCCE4.b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97677" cy="4130427"/>
                    </a:xfrm>
                    <a:prstGeom prst="rect">
                      <a:avLst/>
                    </a:prstGeom>
                    <a:noFill/>
                    <a:ln>
                      <a:noFill/>
                    </a:ln>
                  </pic:spPr>
                </pic:pic>
              </a:graphicData>
            </a:graphic>
          </wp:inline>
        </w:drawing>
      </w:r>
    </w:p>
    <w:p w:rsidR="00D43DAB" w:rsidRDefault="00D43DAB" w:rsidP="00AB20FB">
      <w:pPr>
        <w:jc w:val="both"/>
        <w:rPr>
          <w:rFonts w:ascii="Tahoma" w:hAnsi="Tahoma" w:cs="Tahoma"/>
          <w:bCs/>
        </w:rPr>
      </w:pPr>
      <w:r w:rsidRPr="00805F6D">
        <w:rPr>
          <w:rFonts w:ascii="Arial" w:hAnsi="Arial" w:cs="Arial"/>
          <w:b/>
          <w:bCs/>
        </w:rPr>
        <w:t xml:space="preserve">D : </w:t>
      </w:r>
      <w:r w:rsidR="00805F6D" w:rsidRPr="00805F6D">
        <w:rPr>
          <w:rFonts w:ascii="Tahoma" w:hAnsi="Tahoma" w:cs="Tahoma"/>
          <w:bCs/>
        </w:rPr>
        <w:t>La partie basse du nuage, plate sur 1.</w:t>
      </w:r>
      <w:r w:rsidR="00805F6D">
        <w:rPr>
          <w:rFonts w:ascii="Tahoma" w:hAnsi="Tahoma" w:cs="Tahoma"/>
          <w:bCs/>
        </w:rPr>
        <w:t>41</w:t>
      </w:r>
      <w:r w:rsidR="00805F6D" w:rsidRPr="00805F6D">
        <w:rPr>
          <w:rFonts w:ascii="Tahoma" w:hAnsi="Tahoma" w:cs="Tahoma"/>
          <w:bCs/>
        </w:rPr>
        <w:t xml:space="preserve"> a bloqué la baisse du marché</w:t>
      </w:r>
      <w:r w:rsidR="00805F6D">
        <w:rPr>
          <w:rFonts w:ascii="Tahoma" w:hAnsi="Tahoma" w:cs="Tahoma"/>
          <w:bCs/>
        </w:rPr>
        <w:t xml:space="preserve">. Le rebond a ainsi replacé le marché au sein de sa zone d’équilibre dont la résistance sera matérialisée </w:t>
      </w:r>
      <w:r w:rsidR="009D6F55">
        <w:rPr>
          <w:rFonts w:ascii="Tahoma" w:hAnsi="Tahoma" w:cs="Tahoma"/>
          <w:bCs/>
        </w:rPr>
        <w:t>par</w:t>
      </w:r>
      <w:r w:rsidR="00805F6D">
        <w:rPr>
          <w:rFonts w:ascii="Tahoma" w:hAnsi="Tahoma" w:cs="Tahoma"/>
          <w:bCs/>
        </w:rPr>
        <w:t xml:space="preserve"> </w:t>
      </w:r>
      <w:r w:rsidR="004F3E17">
        <w:rPr>
          <w:rFonts w:ascii="Tahoma" w:hAnsi="Tahoma" w:cs="Tahoma"/>
          <w:bCs/>
        </w:rPr>
        <w:t>le</w:t>
      </w:r>
      <w:r w:rsidR="009D6F55">
        <w:rPr>
          <w:rFonts w:ascii="Tahoma" w:hAnsi="Tahoma" w:cs="Tahoma"/>
          <w:bCs/>
        </w:rPr>
        <w:t xml:space="preserve"> plat de KS de 1.55 plutôt que par la borne haute du nuage.</w:t>
      </w:r>
      <w:r w:rsidR="00805F6D" w:rsidRPr="00805F6D">
        <w:rPr>
          <w:rFonts w:ascii="Tahoma" w:hAnsi="Tahoma" w:cs="Tahoma"/>
          <w:bCs/>
        </w:rPr>
        <w:t xml:space="preserve"> </w:t>
      </w:r>
    </w:p>
    <w:p w:rsidR="009C45D1" w:rsidRPr="00805F6D" w:rsidRDefault="00AC5952" w:rsidP="00AB20FB">
      <w:pPr>
        <w:jc w:val="both"/>
        <w:rPr>
          <w:rFonts w:ascii="Tahoma" w:hAnsi="Tahoma" w:cs="Tahoma"/>
          <w:bCs/>
        </w:rPr>
      </w:pPr>
      <w:r>
        <w:rPr>
          <w:rFonts w:ascii="Tahoma" w:hAnsi="Tahoma" w:cs="Tahoma"/>
          <w:bCs/>
        </w:rPr>
        <w:t xml:space="preserve">La TS plate traduit l’absence de tendance où la LS devra s’établir </w:t>
      </w:r>
      <w:r w:rsidR="00932B93">
        <w:rPr>
          <w:rFonts w:ascii="Tahoma" w:hAnsi="Tahoma" w:cs="Tahoma"/>
          <w:bCs/>
        </w:rPr>
        <w:t>au-dessus</w:t>
      </w:r>
      <w:r>
        <w:rPr>
          <w:rFonts w:ascii="Tahoma" w:hAnsi="Tahoma" w:cs="Tahoma"/>
          <w:bCs/>
        </w:rPr>
        <w:t xml:space="preserve"> de 1.4</w:t>
      </w:r>
      <w:r w:rsidR="00F20FBF">
        <w:rPr>
          <w:rFonts w:ascii="Tahoma" w:hAnsi="Tahoma" w:cs="Tahoma"/>
          <w:bCs/>
        </w:rPr>
        <w:t xml:space="preserve">9 </w:t>
      </w:r>
      <w:r>
        <w:rPr>
          <w:rFonts w:ascii="Tahoma" w:hAnsi="Tahoma" w:cs="Tahoma"/>
          <w:bCs/>
        </w:rPr>
        <w:t>pour envisager un test de 1.55.</w:t>
      </w:r>
    </w:p>
    <w:p w:rsidR="00D43DAB" w:rsidRPr="00805F6D" w:rsidRDefault="00D43DAB" w:rsidP="00D43DAB">
      <w:pPr>
        <w:jc w:val="both"/>
        <w:rPr>
          <w:rFonts w:ascii="Tahoma" w:hAnsi="Tahoma" w:cs="Tahoma"/>
          <w:bCs/>
        </w:rPr>
      </w:pPr>
      <w:r w:rsidRPr="00805F6D">
        <w:rPr>
          <w:rFonts w:ascii="Tahoma" w:hAnsi="Tahoma" w:cs="Tahoma"/>
          <w:bCs/>
        </w:rPr>
        <w:t xml:space="preserve">  </w:t>
      </w:r>
    </w:p>
    <w:p w:rsidR="00D43DAB" w:rsidRDefault="00D43DAB" w:rsidP="00AB20FB">
      <w:pPr>
        <w:jc w:val="both"/>
        <w:rPr>
          <w:rFonts w:ascii="Tahoma" w:hAnsi="Tahoma" w:cs="Tahoma"/>
          <w:bCs/>
        </w:rPr>
      </w:pPr>
      <w:r w:rsidRPr="00F950A8">
        <w:rPr>
          <w:rFonts w:ascii="Arial" w:hAnsi="Arial" w:cs="Arial"/>
          <w:b/>
          <w:bCs/>
        </w:rPr>
        <w:t xml:space="preserve">W : </w:t>
      </w:r>
      <w:r>
        <w:rPr>
          <w:rFonts w:ascii="Tahoma" w:hAnsi="Tahoma" w:cs="Tahoma"/>
          <w:bCs/>
        </w:rPr>
        <w:t xml:space="preserve">Sur </w:t>
      </w:r>
      <w:r w:rsidR="00F20FBF">
        <w:rPr>
          <w:rFonts w:ascii="Tahoma" w:hAnsi="Tahoma" w:cs="Tahoma"/>
          <w:bCs/>
        </w:rPr>
        <w:t xml:space="preserve">le moyen terme, le plat de KS de 1.41  a été temporairement dépassé sans être invalidé par une </w:t>
      </w:r>
      <w:r w:rsidR="00932B93">
        <w:rPr>
          <w:rFonts w:ascii="Tahoma" w:hAnsi="Tahoma" w:cs="Tahoma"/>
          <w:bCs/>
        </w:rPr>
        <w:t>clôture</w:t>
      </w:r>
      <w:r w:rsidR="00F20FBF">
        <w:rPr>
          <w:rFonts w:ascii="Tahoma" w:hAnsi="Tahoma" w:cs="Tahoma"/>
          <w:bCs/>
        </w:rPr>
        <w:t>.</w:t>
      </w:r>
    </w:p>
    <w:p w:rsidR="00F20FBF" w:rsidRPr="00F950A8" w:rsidRDefault="00F20FBF" w:rsidP="00AB20FB">
      <w:pPr>
        <w:jc w:val="both"/>
        <w:rPr>
          <w:rFonts w:ascii="Tahoma" w:hAnsi="Tahoma" w:cs="Tahoma"/>
          <w:bCs/>
        </w:rPr>
      </w:pPr>
      <w:r>
        <w:rPr>
          <w:rFonts w:ascii="Tahoma" w:hAnsi="Tahoma" w:cs="Tahoma"/>
          <w:bCs/>
        </w:rPr>
        <w:t xml:space="preserve">Le contexte reste à la hausse sur cette unité de temps où le passage de 1.41 sera </w:t>
      </w:r>
      <w:r w:rsidR="00932B93">
        <w:rPr>
          <w:rFonts w:ascii="Tahoma" w:hAnsi="Tahoma" w:cs="Tahoma"/>
          <w:bCs/>
        </w:rPr>
        <w:t>nécessaire</w:t>
      </w:r>
      <w:r>
        <w:rPr>
          <w:rFonts w:ascii="Tahoma" w:hAnsi="Tahoma" w:cs="Tahoma"/>
          <w:bCs/>
        </w:rPr>
        <w:t xml:space="preserve"> pour envisager une poursuite de la baisse sur le support de 1.22.</w:t>
      </w:r>
    </w:p>
    <w:p w:rsidR="00D43DAB" w:rsidRPr="00F950A8" w:rsidRDefault="00D43DAB" w:rsidP="00D43DAB">
      <w:pPr>
        <w:tabs>
          <w:tab w:val="left" w:pos="5868"/>
        </w:tabs>
        <w:autoSpaceDE w:val="0"/>
        <w:jc w:val="both"/>
        <w:rPr>
          <w:rFonts w:ascii="Tahoma" w:hAnsi="Tahoma" w:cs="Tahoma"/>
        </w:rPr>
      </w:pPr>
    </w:p>
    <w:p w:rsidR="005530C2" w:rsidRPr="00F27321" w:rsidRDefault="005530C2" w:rsidP="005530C2">
      <w:pPr>
        <w:jc w:val="both"/>
        <w:rPr>
          <w:rFonts w:ascii="Tahoma" w:hAnsi="Tahoma" w:cs="Tahoma"/>
          <w:bCs/>
        </w:rPr>
      </w:pPr>
      <w:r w:rsidRPr="00F27321">
        <w:rPr>
          <w:rFonts w:ascii="Arial" w:hAnsi="Arial" w:cs="Arial"/>
          <w:b/>
          <w:bCs/>
        </w:rPr>
        <w:t>M :</w:t>
      </w:r>
      <w:r w:rsidRPr="00F27321">
        <w:rPr>
          <w:rFonts w:ascii="Tahoma" w:hAnsi="Tahoma" w:cs="Tahoma"/>
          <w:bCs/>
        </w:rPr>
        <w:t xml:space="preserve"> Sur le long terme, la LS devra s’affranchir de plusieurs résistances pour envisager une reprise limitée de la hausse. </w:t>
      </w:r>
      <w:r w:rsidR="009D6F55">
        <w:rPr>
          <w:rFonts w:ascii="Tahoma" w:hAnsi="Tahoma" w:cs="Tahoma"/>
          <w:bCs/>
        </w:rPr>
        <w:t>Ainsi, n</w:t>
      </w:r>
      <w:r w:rsidRPr="00F27321">
        <w:rPr>
          <w:rFonts w:ascii="Tahoma" w:hAnsi="Tahoma" w:cs="Tahoma"/>
          <w:bCs/>
        </w:rPr>
        <w:t>ous retrouvons le point de 1.55 avant le haut récent de 1.67.</w:t>
      </w:r>
    </w:p>
    <w:p w:rsidR="005530C2" w:rsidRPr="00F27321" w:rsidRDefault="005530C2" w:rsidP="005530C2">
      <w:pPr>
        <w:jc w:val="both"/>
        <w:rPr>
          <w:rFonts w:ascii="Tahoma" w:hAnsi="Tahoma" w:cs="Tahoma"/>
          <w:bCs/>
        </w:rPr>
      </w:pPr>
      <w:r w:rsidRPr="00F27321">
        <w:rPr>
          <w:rFonts w:ascii="Tahoma" w:hAnsi="Tahoma" w:cs="Tahoma"/>
          <w:bCs/>
        </w:rPr>
        <w:t>Quant au support, il est matérialisé par la TS sur 1.32.</w:t>
      </w:r>
    </w:p>
    <w:p w:rsidR="005530C2" w:rsidRPr="00AB20FB" w:rsidRDefault="005530C2" w:rsidP="005530C2">
      <w:pPr>
        <w:jc w:val="both"/>
        <w:rPr>
          <w:rFonts w:ascii="Arial" w:hAnsi="Arial" w:cs="Arial"/>
          <w:color w:val="FF0000"/>
        </w:rPr>
      </w:pPr>
    </w:p>
    <w:p w:rsidR="005530C2" w:rsidRPr="00AB20FB" w:rsidRDefault="005530C2" w:rsidP="005530C2">
      <w:pPr>
        <w:jc w:val="both"/>
        <w:rPr>
          <w:rFonts w:ascii="Arial" w:hAnsi="Arial" w:cs="Arial"/>
          <w:color w:val="FF0000"/>
        </w:rPr>
      </w:pPr>
    </w:p>
    <w:p w:rsidR="00D43DAB" w:rsidRPr="009C45D1" w:rsidRDefault="005530C2" w:rsidP="00BE257A">
      <w:pPr>
        <w:jc w:val="both"/>
        <w:rPr>
          <w:rFonts w:ascii="Arial" w:hAnsi="Arial" w:cs="Arial"/>
          <w:b/>
          <w:color w:val="00B050"/>
        </w:rPr>
      </w:pPr>
      <w:r w:rsidRPr="009C45D1">
        <w:rPr>
          <w:rFonts w:ascii="Arial" w:hAnsi="Arial" w:cs="Arial"/>
          <w:b/>
          <w:color w:val="00B050"/>
          <w:u w:val="single"/>
        </w:rPr>
        <w:t>HEBDOMADAIRE</w:t>
      </w:r>
      <w:r w:rsidRPr="009C45D1">
        <w:rPr>
          <w:rFonts w:ascii="Arial" w:hAnsi="Arial" w:cs="Arial"/>
          <w:b/>
          <w:color w:val="00B050"/>
        </w:rPr>
        <w:t> : Neutralité du court terme entre 1.39-1.41 et 1.55.</w:t>
      </w:r>
      <w:r w:rsidR="00AA7942" w:rsidRPr="009C45D1">
        <w:rPr>
          <w:rFonts w:ascii="Arial" w:hAnsi="Arial" w:cs="Arial"/>
          <w:b/>
          <w:color w:val="00B050"/>
        </w:rPr>
        <w:t xml:space="preserve"> </w:t>
      </w:r>
      <w:r w:rsidR="00031AE3" w:rsidRPr="009C45D1">
        <w:rPr>
          <w:rFonts w:ascii="Arial" w:hAnsi="Arial" w:cs="Arial"/>
          <w:b/>
          <w:color w:val="00B050"/>
        </w:rPr>
        <w:t>En cas</w:t>
      </w:r>
      <w:r w:rsidR="006D7DCD" w:rsidRPr="009C45D1">
        <w:rPr>
          <w:rFonts w:ascii="Arial" w:hAnsi="Arial" w:cs="Arial"/>
          <w:b/>
          <w:color w:val="00B050"/>
        </w:rPr>
        <w:t xml:space="preserve">sure du support </w:t>
      </w:r>
      <w:r w:rsidR="009D6F55">
        <w:rPr>
          <w:rFonts w:ascii="Arial" w:hAnsi="Arial" w:cs="Arial"/>
          <w:b/>
          <w:color w:val="00B050"/>
        </w:rPr>
        <w:t xml:space="preserve">de </w:t>
      </w:r>
      <w:r w:rsidR="006D7DCD" w:rsidRPr="009C45D1">
        <w:rPr>
          <w:rFonts w:ascii="Arial" w:hAnsi="Arial" w:cs="Arial"/>
          <w:b/>
          <w:color w:val="00B050"/>
        </w:rPr>
        <w:t>1.39-1.41 baisse</w:t>
      </w:r>
      <w:r w:rsidR="00031AE3" w:rsidRPr="009C45D1">
        <w:rPr>
          <w:rFonts w:ascii="Arial" w:hAnsi="Arial" w:cs="Arial"/>
          <w:b/>
          <w:color w:val="00B050"/>
        </w:rPr>
        <w:t xml:space="preserve"> en direction de 1</w:t>
      </w:r>
      <w:r w:rsidR="00682009" w:rsidRPr="009C45D1">
        <w:rPr>
          <w:rFonts w:ascii="Arial" w:hAnsi="Arial" w:cs="Arial"/>
          <w:b/>
          <w:color w:val="00B050"/>
        </w:rPr>
        <w:t>.25</w:t>
      </w:r>
      <w:r w:rsidR="006D7DCD" w:rsidRPr="009C45D1">
        <w:rPr>
          <w:rFonts w:ascii="Arial" w:hAnsi="Arial" w:cs="Arial"/>
          <w:b/>
          <w:color w:val="00B050"/>
        </w:rPr>
        <w:t>.</w:t>
      </w:r>
    </w:p>
    <w:p w:rsidR="00AB20FB" w:rsidRDefault="00AB20FB" w:rsidP="00BE257A">
      <w:pPr>
        <w:jc w:val="both"/>
        <w:rPr>
          <w:rFonts w:ascii="Arial" w:hAnsi="Arial" w:cs="Arial"/>
          <w:b/>
          <w:color w:val="FF0000"/>
        </w:rPr>
      </w:pPr>
    </w:p>
    <w:p w:rsidR="009D6F55" w:rsidRDefault="009D6F55" w:rsidP="00BE257A">
      <w:pPr>
        <w:jc w:val="both"/>
        <w:rPr>
          <w:rFonts w:ascii="Arial" w:hAnsi="Arial" w:cs="Arial"/>
          <w:b/>
          <w:color w:val="FF0000"/>
        </w:rPr>
      </w:pPr>
    </w:p>
    <w:p w:rsidR="00AB20FB" w:rsidRPr="009D6F55" w:rsidRDefault="00A665E7" w:rsidP="00BE257A">
      <w:pPr>
        <w:jc w:val="both"/>
        <w:rPr>
          <w:rFonts w:ascii="Arial" w:hAnsi="Arial" w:cs="Arial"/>
          <w:b/>
          <w:u w:val="single"/>
        </w:rPr>
      </w:pPr>
      <w:r>
        <w:rPr>
          <w:rFonts w:ascii="Arial" w:hAnsi="Arial" w:cs="Arial"/>
          <w:b/>
          <w:u w:val="single"/>
        </w:rPr>
        <w:t xml:space="preserve">MENSUEL : </w:t>
      </w:r>
      <w:r w:rsidR="00726F34" w:rsidRPr="00431678">
        <w:rPr>
          <w:rFonts w:ascii="Arial" w:hAnsi="Arial" w:cs="Arial"/>
          <w:b/>
          <w:u w:val="single"/>
        </w:rPr>
        <w:t xml:space="preserve">Le contexte restera favorable à la hausse tant que le 10 ans UK se maintiendra au-dessus de 1.13. Auparavant, 1.41 servira de support. Un dépassement de 1.55 permettra d’envisager un retour sur les hauts de 1.69. </w:t>
      </w:r>
    </w:p>
    <w:p w:rsidR="00F72829" w:rsidRDefault="00F72829" w:rsidP="0080178C">
      <w:pPr>
        <w:jc w:val="both"/>
        <w:rPr>
          <w:rFonts w:ascii="Arial" w:eastAsia="Calibri" w:hAnsi="Arial" w:cs="Arial"/>
          <w:i/>
          <w:sz w:val="22"/>
          <w:szCs w:val="22"/>
        </w:rPr>
      </w:pPr>
      <w:r w:rsidRPr="00D43DAB">
        <w:rPr>
          <w:rFonts w:ascii="Arial" w:hAnsi="Arial" w:cs="Arial"/>
          <w:b/>
          <w:bCs/>
          <w:color w:val="FF0000"/>
          <w:sz w:val="28"/>
          <w:szCs w:val="28"/>
        </w:rPr>
        <w:t xml:space="preserve">                         </w:t>
      </w:r>
      <w:r w:rsidR="006D7DCD">
        <w:rPr>
          <w:rFonts w:ascii="Arial" w:hAnsi="Arial" w:cs="Arial"/>
          <w:b/>
          <w:bCs/>
          <w:color w:val="FF0000"/>
          <w:sz w:val="28"/>
          <w:szCs w:val="28"/>
        </w:rPr>
        <w:t xml:space="preserve">         </w:t>
      </w:r>
      <w:bookmarkStart w:id="1" w:name="_GoBack"/>
      <w:bookmarkEnd w:id="1"/>
    </w:p>
    <w:p w:rsidR="00F72829" w:rsidRDefault="00F72829" w:rsidP="00F72829">
      <w:pPr>
        <w:jc w:val="both"/>
        <w:rPr>
          <w:rFonts w:ascii="Arial" w:eastAsia="Calibri" w:hAnsi="Arial" w:cs="Arial"/>
          <w:i/>
          <w:sz w:val="22"/>
          <w:szCs w:val="22"/>
        </w:rPr>
      </w:pPr>
    </w:p>
    <w:bookmarkEnd w:id="0"/>
    <w:sectPr w:rsidR="00F72829" w:rsidSect="0050573E">
      <w:footerReference w:type="default" r:id="rId1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EAA" w:rsidRDefault="00632EAA" w:rsidP="00632EAA">
      <w:r>
        <w:separator/>
      </w:r>
    </w:p>
  </w:endnote>
  <w:endnote w:type="continuationSeparator" w:id="0">
    <w:p w:rsidR="00632EAA" w:rsidRDefault="00632EAA"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D2A" w:rsidRDefault="003A4348">
    <w:pPr>
      <w:pStyle w:val="Pieddepage"/>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10227945</wp:posOffset>
              </wp:positionV>
              <wp:extent cx="7560310" cy="273050"/>
              <wp:effectExtent l="0" t="0" r="0" b="12700"/>
              <wp:wrapNone/>
              <wp:docPr id="1" name="MSIPCM39b24071bc836ab03ee3561d" descr="{&quot;HashCode&quot;:110066269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3A4348" w:rsidRPr="003A4348" w:rsidRDefault="003A4348" w:rsidP="003A4348">
                          <w:pPr>
                            <w:rPr>
                              <w:rFonts w:ascii="Calibri" w:hAnsi="Calibri" w:cs="Calibri"/>
                              <w:color w:val="737373"/>
                              <w:sz w:val="16"/>
                            </w:rPr>
                          </w:pPr>
                          <w:r w:rsidRPr="003A4348">
                            <w:rPr>
                              <w:rFonts w:ascii="Calibri" w:hAnsi="Calibri" w:cs="Calibri"/>
                              <w:color w:val="737373"/>
                              <w:sz w:val="16"/>
                            </w:rPr>
                            <w:t>C2 - Internal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39b24071bc836ab03ee3561d" o:spid="_x0000_s1026" type="#_x0000_t202" alt="{&quot;HashCode&quot;:1100662692,&quot;Height&quot;:841.0,&quot;Width&quot;:595.0,&quot;Placement&quot;:&quot;Footer&quot;,&quot;Index&quot;:&quot;Primary&quot;,&quot;Section&quot;:1,&quot;Top&quot;:0.0,&quot;Left&quot;:0.0}" style="position:absolute;margin-left:0;margin-top:805.3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" o:allowincell="f" filled="f" stroked="f" strokeweight=".5pt">
              <v:textbox inset="20pt,0,,0">
                <w:txbxContent>
                  <w:p w:rsidR="003A4348" w:rsidRPr="003A4348" w:rsidRDefault="003A4348" w:rsidP="003A4348">
                    <w:pPr>
                      <w:rPr>
                        <w:rFonts w:ascii="Calibri" w:hAnsi="Calibri" w:cs="Calibri"/>
                        <w:color w:val="737373"/>
                        <w:sz w:val="16"/>
                      </w:rPr>
                    </w:pPr>
                    <w:r w:rsidRPr="003A4348">
                      <w:rPr>
                        <w:rFonts w:ascii="Calibri" w:hAnsi="Calibri" w:cs="Calibri"/>
                        <w:color w:val="737373"/>
                        <w:sz w:val="16"/>
                      </w:rPr>
                      <w:t>C2 - Internal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EAA" w:rsidRDefault="00632EAA" w:rsidP="00632EAA">
      <w:r>
        <w:separator/>
      </w:r>
    </w:p>
  </w:footnote>
  <w:footnote w:type="continuationSeparator" w:id="0">
    <w:p w:rsidR="00632EAA" w:rsidRDefault="00632EAA"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EAA"/>
    <w:rsid w:val="00015DE9"/>
    <w:rsid w:val="00024342"/>
    <w:rsid w:val="00031AE3"/>
    <w:rsid w:val="00031D2A"/>
    <w:rsid w:val="00040AE9"/>
    <w:rsid w:val="00041F25"/>
    <w:rsid w:val="0005450A"/>
    <w:rsid w:val="000641C0"/>
    <w:rsid w:val="000679AC"/>
    <w:rsid w:val="00077732"/>
    <w:rsid w:val="00093D02"/>
    <w:rsid w:val="0009601D"/>
    <w:rsid w:val="000A4A04"/>
    <w:rsid w:val="000C5BCC"/>
    <w:rsid w:val="000D17A4"/>
    <w:rsid w:val="000D21A7"/>
    <w:rsid w:val="000D6642"/>
    <w:rsid w:val="000D7ED2"/>
    <w:rsid w:val="000E52E1"/>
    <w:rsid w:val="000E65BF"/>
    <w:rsid w:val="00100473"/>
    <w:rsid w:val="00101F48"/>
    <w:rsid w:val="001155DC"/>
    <w:rsid w:val="00124CE0"/>
    <w:rsid w:val="0012530F"/>
    <w:rsid w:val="001420E9"/>
    <w:rsid w:val="00145281"/>
    <w:rsid w:val="00151611"/>
    <w:rsid w:val="00152726"/>
    <w:rsid w:val="00174D90"/>
    <w:rsid w:val="00175D7D"/>
    <w:rsid w:val="001802ED"/>
    <w:rsid w:val="00181C36"/>
    <w:rsid w:val="001B1120"/>
    <w:rsid w:val="001C0A29"/>
    <w:rsid w:val="001C6728"/>
    <w:rsid w:val="001D21C0"/>
    <w:rsid w:val="001D2CFB"/>
    <w:rsid w:val="001F0E5F"/>
    <w:rsid w:val="00206C2A"/>
    <w:rsid w:val="0021328A"/>
    <w:rsid w:val="00222827"/>
    <w:rsid w:val="00233557"/>
    <w:rsid w:val="00235DEB"/>
    <w:rsid w:val="0023751E"/>
    <w:rsid w:val="00254989"/>
    <w:rsid w:val="00264ECA"/>
    <w:rsid w:val="00276D92"/>
    <w:rsid w:val="0027748F"/>
    <w:rsid w:val="00281F6C"/>
    <w:rsid w:val="00292AF0"/>
    <w:rsid w:val="002A322F"/>
    <w:rsid w:val="002A3CA4"/>
    <w:rsid w:val="002A63D2"/>
    <w:rsid w:val="002C101E"/>
    <w:rsid w:val="002C2834"/>
    <w:rsid w:val="002E337C"/>
    <w:rsid w:val="002E34FF"/>
    <w:rsid w:val="002E5E89"/>
    <w:rsid w:val="002F3091"/>
    <w:rsid w:val="002F6B57"/>
    <w:rsid w:val="0031071E"/>
    <w:rsid w:val="003166BC"/>
    <w:rsid w:val="00317596"/>
    <w:rsid w:val="003228D3"/>
    <w:rsid w:val="003233B1"/>
    <w:rsid w:val="00330C78"/>
    <w:rsid w:val="00337BE0"/>
    <w:rsid w:val="00347D77"/>
    <w:rsid w:val="00352A1E"/>
    <w:rsid w:val="00354C96"/>
    <w:rsid w:val="00360110"/>
    <w:rsid w:val="00367239"/>
    <w:rsid w:val="00367599"/>
    <w:rsid w:val="003702C4"/>
    <w:rsid w:val="00377440"/>
    <w:rsid w:val="003952D7"/>
    <w:rsid w:val="00397BA3"/>
    <w:rsid w:val="003A4348"/>
    <w:rsid w:val="003B2CFF"/>
    <w:rsid w:val="003C03CD"/>
    <w:rsid w:val="003E1B3F"/>
    <w:rsid w:val="003E5A71"/>
    <w:rsid w:val="003E749D"/>
    <w:rsid w:val="003F4023"/>
    <w:rsid w:val="003F6F10"/>
    <w:rsid w:val="00401AE1"/>
    <w:rsid w:val="00401F6A"/>
    <w:rsid w:val="004110E2"/>
    <w:rsid w:val="0043099C"/>
    <w:rsid w:val="00432974"/>
    <w:rsid w:val="00476700"/>
    <w:rsid w:val="00490C20"/>
    <w:rsid w:val="004A7BFF"/>
    <w:rsid w:val="004B145B"/>
    <w:rsid w:val="004C107D"/>
    <w:rsid w:val="004C57CF"/>
    <w:rsid w:val="004C7595"/>
    <w:rsid w:val="004D02B8"/>
    <w:rsid w:val="004E02D3"/>
    <w:rsid w:val="004F3E17"/>
    <w:rsid w:val="004F49FB"/>
    <w:rsid w:val="004F7DDC"/>
    <w:rsid w:val="0050573E"/>
    <w:rsid w:val="005224FA"/>
    <w:rsid w:val="0052288F"/>
    <w:rsid w:val="0054379C"/>
    <w:rsid w:val="00545E40"/>
    <w:rsid w:val="005530C2"/>
    <w:rsid w:val="0056419E"/>
    <w:rsid w:val="0059070C"/>
    <w:rsid w:val="005B781D"/>
    <w:rsid w:val="005C3180"/>
    <w:rsid w:val="005C5E67"/>
    <w:rsid w:val="005D451E"/>
    <w:rsid w:val="005E4948"/>
    <w:rsid w:val="005F7340"/>
    <w:rsid w:val="006048FD"/>
    <w:rsid w:val="00620D34"/>
    <w:rsid w:val="0062397C"/>
    <w:rsid w:val="00632EAA"/>
    <w:rsid w:val="00643293"/>
    <w:rsid w:val="00650C73"/>
    <w:rsid w:val="00670CF7"/>
    <w:rsid w:val="00676870"/>
    <w:rsid w:val="00682009"/>
    <w:rsid w:val="006871A5"/>
    <w:rsid w:val="0069101B"/>
    <w:rsid w:val="006A0DD9"/>
    <w:rsid w:val="006B35CA"/>
    <w:rsid w:val="006C10F5"/>
    <w:rsid w:val="006C634F"/>
    <w:rsid w:val="006D6C35"/>
    <w:rsid w:val="006D7DCD"/>
    <w:rsid w:val="006E1A3A"/>
    <w:rsid w:val="006F7044"/>
    <w:rsid w:val="00704A64"/>
    <w:rsid w:val="007236FA"/>
    <w:rsid w:val="00725CFC"/>
    <w:rsid w:val="00726F34"/>
    <w:rsid w:val="00727A2F"/>
    <w:rsid w:val="0073620D"/>
    <w:rsid w:val="00746A4F"/>
    <w:rsid w:val="00762F69"/>
    <w:rsid w:val="00776C3E"/>
    <w:rsid w:val="007A54EF"/>
    <w:rsid w:val="007B31F5"/>
    <w:rsid w:val="007B6865"/>
    <w:rsid w:val="007C14A5"/>
    <w:rsid w:val="007D4DA3"/>
    <w:rsid w:val="007E3F85"/>
    <w:rsid w:val="007E4A2B"/>
    <w:rsid w:val="0080178C"/>
    <w:rsid w:val="00805F6D"/>
    <w:rsid w:val="0081223A"/>
    <w:rsid w:val="0081521A"/>
    <w:rsid w:val="00817780"/>
    <w:rsid w:val="008213B0"/>
    <w:rsid w:val="008269BA"/>
    <w:rsid w:val="00841983"/>
    <w:rsid w:val="00841EF7"/>
    <w:rsid w:val="008431B4"/>
    <w:rsid w:val="0085485A"/>
    <w:rsid w:val="00855054"/>
    <w:rsid w:val="00875D08"/>
    <w:rsid w:val="008761B9"/>
    <w:rsid w:val="008769DF"/>
    <w:rsid w:val="00883760"/>
    <w:rsid w:val="00893DED"/>
    <w:rsid w:val="00894BE9"/>
    <w:rsid w:val="008A2B2F"/>
    <w:rsid w:val="008A4E31"/>
    <w:rsid w:val="008C6E2B"/>
    <w:rsid w:val="008D0E1C"/>
    <w:rsid w:val="00900B05"/>
    <w:rsid w:val="009079FA"/>
    <w:rsid w:val="00911680"/>
    <w:rsid w:val="009141EC"/>
    <w:rsid w:val="00917964"/>
    <w:rsid w:val="0092725C"/>
    <w:rsid w:val="00932B93"/>
    <w:rsid w:val="009372C2"/>
    <w:rsid w:val="0093766C"/>
    <w:rsid w:val="00947D9D"/>
    <w:rsid w:val="00957245"/>
    <w:rsid w:val="00970A24"/>
    <w:rsid w:val="0097505A"/>
    <w:rsid w:val="00996367"/>
    <w:rsid w:val="009B7D86"/>
    <w:rsid w:val="009C2A7C"/>
    <w:rsid w:val="009C45D1"/>
    <w:rsid w:val="009D01D8"/>
    <w:rsid w:val="009D6F55"/>
    <w:rsid w:val="009E22DE"/>
    <w:rsid w:val="00A15D2E"/>
    <w:rsid w:val="00A2391D"/>
    <w:rsid w:val="00A27403"/>
    <w:rsid w:val="00A308B4"/>
    <w:rsid w:val="00A36E33"/>
    <w:rsid w:val="00A3772E"/>
    <w:rsid w:val="00A40891"/>
    <w:rsid w:val="00A472AD"/>
    <w:rsid w:val="00A636A6"/>
    <w:rsid w:val="00A64B0D"/>
    <w:rsid w:val="00A665E7"/>
    <w:rsid w:val="00A741BF"/>
    <w:rsid w:val="00A84247"/>
    <w:rsid w:val="00A901AB"/>
    <w:rsid w:val="00A902E0"/>
    <w:rsid w:val="00AA00F5"/>
    <w:rsid w:val="00AA5C6E"/>
    <w:rsid w:val="00AA7942"/>
    <w:rsid w:val="00AB20FB"/>
    <w:rsid w:val="00AC4E3C"/>
    <w:rsid w:val="00AC5952"/>
    <w:rsid w:val="00AD3EC0"/>
    <w:rsid w:val="00AE44FC"/>
    <w:rsid w:val="00AF41BB"/>
    <w:rsid w:val="00AF4A78"/>
    <w:rsid w:val="00AF6373"/>
    <w:rsid w:val="00B018B5"/>
    <w:rsid w:val="00B06C8C"/>
    <w:rsid w:val="00B10C67"/>
    <w:rsid w:val="00B22088"/>
    <w:rsid w:val="00B23C18"/>
    <w:rsid w:val="00B30D14"/>
    <w:rsid w:val="00B35DBD"/>
    <w:rsid w:val="00B41142"/>
    <w:rsid w:val="00B422AB"/>
    <w:rsid w:val="00B5084B"/>
    <w:rsid w:val="00B65EBF"/>
    <w:rsid w:val="00B7197D"/>
    <w:rsid w:val="00B71F16"/>
    <w:rsid w:val="00B74B95"/>
    <w:rsid w:val="00BA1F23"/>
    <w:rsid w:val="00BD620D"/>
    <w:rsid w:val="00BE257A"/>
    <w:rsid w:val="00BE6BD9"/>
    <w:rsid w:val="00BE7C61"/>
    <w:rsid w:val="00BF28CE"/>
    <w:rsid w:val="00C0184E"/>
    <w:rsid w:val="00C17FD4"/>
    <w:rsid w:val="00C23D35"/>
    <w:rsid w:val="00C5412E"/>
    <w:rsid w:val="00C5448E"/>
    <w:rsid w:val="00C606D4"/>
    <w:rsid w:val="00C620BE"/>
    <w:rsid w:val="00C70863"/>
    <w:rsid w:val="00C80D99"/>
    <w:rsid w:val="00C85349"/>
    <w:rsid w:val="00C86F3C"/>
    <w:rsid w:val="00C92A3F"/>
    <w:rsid w:val="00CA3A8D"/>
    <w:rsid w:val="00CB45A3"/>
    <w:rsid w:val="00CB5FE1"/>
    <w:rsid w:val="00CD06AD"/>
    <w:rsid w:val="00CD4D97"/>
    <w:rsid w:val="00CE068E"/>
    <w:rsid w:val="00CE778C"/>
    <w:rsid w:val="00CF5C74"/>
    <w:rsid w:val="00CF7FF8"/>
    <w:rsid w:val="00D06ADB"/>
    <w:rsid w:val="00D24188"/>
    <w:rsid w:val="00D27672"/>
    <w:rsid w:val="00D32D69"/>
    <w:rsid w:val="00D40055"/>
    <w:rsid w:val="00D43DAB"/>
    <w:rsid w:val="00D452F3"/>
    <w:rsid w:val="00D458DE"/>
    <w:rsid w:val="00D52828"/>
    <w:rsid w:val="00D5530C"/>
    <w:rsid w:val="00D756C6"/>
    <w:rsid w:val="00D90986"/>
    <w:rsid w:val="00D9653B"/>
    <w:rsid w:val="00DA29A7"/>
    <w:rsid w:val="00DA6C8B"/>
    <w:rsid w:val="00DC295E"/>
    <w:rsid w:val="00DC3AA6"/>
    <w:rsid w:val="00DC3BB3"/>
    <w:rsid w:val="00DC6E5A"/>
    <w:rsid w:val="00DD26C3"/>
    <w:rsid w:val="00DD404E"/>
    <w:rsid w:val="00DD5A19"/>
    <w:rsid w:val="00E01395"/>
    <w:rsid w:val="00E376A8"/>
    <w:rsid w:val="00E43B0C"/>
    <w:rsid w:val="00E44FD6"/>
    <w:rsid w:val="00E60B59"/>
    <w:rsid w:val="00E73BC8"/>
    <w:rsid w:val="00E743CB"/>
    <w:rsid w:val="00E74773"/>
    <w:rsid w:val="00E75757"/>
    <w:rsid w:val="00E803BA"/>
    <w:rsid w:val="00E810A2"/>
    <w:rsid w:val="00EB61B6"/>
    <w:rsid w:val="00EC49FD"/>
    <w:rsid w:val="00ED0482"/>
    <w:rsid w:val="00EE13D1"/>
    <w:rsid w:val="00EE7FC9"/>
    <w:rsid w:val="00F136E1"/>
    <w:rsid w:val="00F139AF"/>
    <w:rsid w:val="00F20FBF"/>
    <w:rsid w:val="00F21A60"/>
    <w:rsid w:val="00F26BC3"/>
    <w:rsid w:val="00F27321"/>
    <w:rsid w:val="00F52598"/>
    <w:rsid w:val="00F5391F"/>
    <w:rsid w:val="00F72829"/>
    <w:rsid w:val="00F74739"/>
    <w:rsid w:val="00F7571C"/>
    <w:rsid w:val="00F758DE"/>
    <w:rsid w:val="00F7692C"/>
    <w:rsid w:val="00F82484"/>
    <w:rsid w:val="00F846A0"/>
    <w:rsid w:val="00F944A1"/>
    <w:rsid w:val="00F950A8"/>
    <w:rsid w:val="00FA3742"/>
    <w:rsid w:val="00FA6DF2"/>
    <w:rsid w:val="00FD367A"/>
    <w:rsid w:val="00FE30E6"/>
    <w:rsid w:val="00FF105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5:docId w15:val="{01F5A381-1B30-45BE-BA93-49A43DF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88012-821A-41BC-BA0C-737E9267C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10</Pages>
  <Words>893</Words>
  <Characters>4912</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 Luc</cp:lastModifiedBy>
  <cp:revision>266</cp:revision>
  <cp:lastPrinted>2018-03-12T09:18:00Z</cp:lastPrinted>
  <dcterms:created xsi:type="dcterms:W3CDTF">2018-02-02T13:49:00Z</dcterms:created>
  <dcterms:modified xsi:type="dcterms:W3CDTF">2018-03-26T08:32:00Z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7e4f81-4b1c-4a3a-b237-8636707719dc_Enabled">
    <vt:lpwstr>True</vt:lpwstr>
  </property>
  <property fmtid="{D5CDD505-2E9C-101B-9397-08002B2CF9AE}" pid="3" name="MSIP_Label_797e4f81-4b1c-4a3a-b237-8636707719dc_SiteId">
    <vt:lpwstr>d5bb6d35-8a82-4329-b49a-5030bd6497ab</vt:lpwstr>
  </property>
  <property fmtid="{D5CDD505-2E9C-101B-9397-08002B2CF9AE}" pid="4" name="MSIP_Label_797e4f81-4b1c-4a3a-b237-8636707719dc_Ref">
    <vt:lpwstr>https://api.informationprotection.azure.com/api/d5bb6d35-8a82-4329-b49a-5030bd6497ab</vt:lpwstr>
  </property>
  <property fmtid="{D5CDD505-2E9C-101B-9397-08002B2CF9AE}" pid="5" name="MSIP_Label_797e4f81-4b1c-4a3a-b237-8636707719dc_Owner">
    <vt:lpwstr>jean-luc.attal@am.natixis.com</vt:lpwstr>
  </property>
  <property fmtid="{D5CDD505-2E9C-101B-9397-08002B2CF9AE}" pid="6" name="MSIP_Label_797e4f81-4b1c-4a3a-b237-8636707719dc_SetDate">
    <vt:lpwstr>2018-02-09T14:58:55.9057115+01:00</vt:lpwstr>
  </property>
  <property fmtid="{D5CDD505-2E9C-101B-9397-08002B2CF9AE}" pid="7" name="MSIP_Label_797e4f81-4b1c-4a3a-b237-8636707719dc_Name">
    <vt:lpwstr>C2 - Internal Natixis</vt:lpwstr>
  </property>
  <property fmtid="{D5CDD505-2E9C-101B-9397-08002B2CF9AE}" pid="8" name="MSIP_Label_797e4f81-4b1c-4a3a-b237-8636707719dc_Application">
    <vt:lpwstr>Microsoft Azure Information Protection</vt:lpwstr>
  </property>
  <property fmtid="{D5CDD505-2E9C-101B-9397-08002B2CF9AE}" pid="9" name="MSIP_Label_797e4f81-4b1c-4a3a-b237-8636707719dc_Extended_MSFT_Method">
    <vt:lpwstr>Automatic</vt:lpwstr>
  </property>
  <property fmtid="{D5CDD505-2E9C-101B-9397-08002B2CF9AE}" pid="10" name="Sensitivity">
    <vt:lpwstr>C2 - Internal Natixis</vt:lpwstr>
  </property>
</Properties>
</file>