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55D5" w:rsidRPr="007943A8" w:rsidRDefault="00C955D5" w:rsidP="007943A8">
      <w:pPr>
        <w:tabs>
          <w:tab w:val="left" w:pos="3696"/>
        </w:tabs>
        <w:rPr>
          <w:rFonts w:ascii="Arial" w:hAnsi="Arial" w:cs="Arial"/>
          <w:b/>
          <w:sz w:val="28"/>
          <w:szCs w:val="28"/>
        </w:rPr>
      </w:pPr>
      <w:bookmarkStart w:id="0" w:name="_Hlk505587978"/>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040AE9" w:rsidRDefault="00040AE9" w:rsidP="00F72829">
      <w:pPr>
        <w:jc w:val="both"/>
        <w:rPr>
          <w:rFonts w:ascii="Arial" w:hAnsi="Arial" w:cs="Arial"/>
          <w:b/>
          <w:sz w:val="22"/>
          <w:szCs w:val="22"/>
        </w:rPr>
      </w:pPr>
    </w:p>
    <w:p w:rsidR="009049D6" w:rsidRPr="00800AB1" w:rsidRDefault="009049D6" w:rsidP="00F72829">
      <w:pPr>
        <w:jc w:val="both"/>
        <w:rPr>
          <w:rFonts w:ascii="Arial" w:hAnsi="Arial" w:cs="Arial"/>
          <w:b/>
          <w:sz w:val="22"/>
          <w:szCs w:val="22"/>
        </w:rPr>
      </w:pPr>
    </w:p>
    <w:p w:rsidR="00F72829" w:rsidRPr="00894BE9" w:rsidRDefault="00F72829" w:rsidP="00F72829">
      <w:pPr>
        <w:jc w:val="both"/>
        <w:rPr>
          <w:rFonts w:ascii="Arial" w:hAnsi="Arial" w:cs="Arial"/>
          <w:b/>
          <w:sz w:val="36"/>
          <w:szCs w:val="36"/>
          <w:u w:val="single"/>
        </w:rPr>
      </w:pPr>
      <w:r w:rsidRPr="00E35A20">
        <w:rPr>
          <w:rFonts w:ascii="Arial" w:hAnsi="Arial" w:cs="Arial"/>
          <w:b/>
          <w:sz w:val="28"/>
          <w:szCs w:val="28"/>
        </w:rPr>
        <w:t xml:space="preserve">                                            </w:t>
      </w:r>
      <w:r w:rsidRPr="00894BE9">
        <w:rPr>
          <w:rFonts w:ascii="Arial" w:hAnsi="Arial" w:cs="Arial"/>
          <w:b/>
          <w:sz w:val="36"/>
          <w:szCs w:val="36"/>
          <w:u w:val="single"/>
        </w:rPr>
        <w:t xml:space="preserve">10 ans Euro </w:t>
      </w:r>
    </w:p>
    <w:p w:rsidR="000D4E0C" w:rsidRPr="00160FF3" w:rsidRDefault="000D4E0C" w:rsidP="000D4E0C">
      <w:pPr>
        <w:autoSpaceDE w:val="0"/>
        <w:jc w:val="both"/>
        <w:rPr>
          <w:rFonts w:ascii="Arial" w:hAnsi="Arial" w:cs="Arial"/>
          <w:b/>
          <w:sz w:val="28"/>
          <w:szCs w:val="28"/>
          <w:u w:val="single"/>
        </w:rPr>
      </w:pPr>
      <w:r w:rsidRPr="00160FF3">
        <w:rPr>
          <w:rFonts w:ascii="Arial" w:hAnsi="Arial" w:cs="Arial"/>
          <w:b/>
          <w:sz w:val="28"/>
          <w:szCs w:val="28"/>
          <w:u w:val="single"/>
        </w:rPr>
        <w:t>Monthly</w:t>
      </w:r>
    </w:p>
    <w:p w:rsidR="00F72829" w:rsidRPr="000D4E0C" w:rsidRDefault="000D4E0C" w:rsidP="000D4E0C">
      <w:pPr>
        <w:autoSpaceDE w:val="0"/>
        <w:ind w:left="-850"/>
        <w:jc w:val="both"/>
        <w:rPr>
          <w:rFonts w:ascii="Arial" w:hAnsi="Arial" w:cs="Arial"/>
          <w:b/>
          <w:sz w:val="28"/>
          <w:szCs w:val="28"/>
          <w:u w:val="single"/>
          <w:lang w:val="en-US"/>
        </w:rPr>
      </w:pPr>
      <w:r>
        <w:rPr>
          <w:rFonts w:ascii="Arial" w:hAnsi="Arial" w:cs="Arial"/>
          <w:b/>
          <w:noProof/>
          <w:sz w:val="28"/>
          <w:szCs w:val="28"/>
          <w:u w:val="single"/>
        </w:rPr>
        <w:drawing>
          <wp:inline distT="0" distB="0" distL="0" distR="0" wp14:anchorId="2B7F7B93" wp14:editId="54B47711">
            <wp:extent cx="6827520" cy="3726180"/>
            <wp:effectExtent l="0" t="0" r="0" b="7620"/>
            <wp:docPr id="3" name="Image 3" descr="C:\Temp\Bloomberg\temp\bfmB8F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B8F7.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9965" cy="3722057"/>
                    </a:xfrm>
                    <a:prstGeom prst="rect">
                      <a:avLst/>
                    </a:prstGeom>
                    <a:noFill/>
                    <a:ln>
                      <a:noFill/>
                    </a:ln>
                  </pic:spPr>
                </pic:pic>
              </a:graphicData>
            </a:graphic>
          </wp:inline>
        </w:drawing>
      </w:r>
    </w:p>
    <w:p w:rsidR="00F72829" w:rsidRPr="009049D6" w:rsidRDefault="00F72829" w:rsidP="00F72829">
      <w:pPr>
        <w:autoSpaceDE w:val="0"/>
        <w:jc w:val="both"/>
        <w:rPr>
          <w:rFonts w:ascii="Arial" w:hAnsi="Arial" w:cs="Arial"/>
          <w:b/>
          <w:sz w:val="28"/>
          <w:szCs w:val="28"/>
          <w:u w:val="single"/>
          <w:lang w:val="en-US"/>
        </w:rPr>
      </w:pPr>
      <w:r w:rsidRPr="009049D6">
        <w:rPr>
          <w:rFonts w:ascii="Arial" w:hAnsi="Arial" w:cs="Arial"/>
          <w:b/>
          <w:sz w:val="28"/>
          <w:szCs w:val="28"/>
          <w:u w:val="single"/>
          <w:lang w:val="en-US"/>
        </w:rPr>
        <w:t>Weekly</w:t>
      </w:r>
    </w:p>
    <w:p w:rsidR="000D4E0C" w:rsidRDefault="009049D6" w:rsidP="000D4E0C">
      <w:pPr>
        <w:autoSpaceDE w:val="0"/>
        <w:ind w:left="-850"/>
        <w:jc w:val="both"/>
        <w:rPr>
          <w:rFonts w:ascii="Arial" w:hAnsi="Arial" w:cs="Arial"/>
          <w:b/>
          <w:sz w:val="28"/>
          <w:szCs w:val="28"/>
          <w:u w:val="single"/>
          <w:lang w:val="en-US"/>
        </w:rPr>
      </w:pPr>
      <w:r>
        <w:rPr>
          <w:rFonts w:ascii="Arial" w:hAnsi="Arial" w:cs="Arial"/>
          <w:b/>
          <w:noProof/>
          <w:sz w:val="28"/>
          <w:szCs w:val="28"/>
          <w:u w:val="single"/>
        </w:rPr>
        <w:lastRenderedPageBreak/>
        <w:drawing>
          <wp:inline distT="0" distB="0" distL="0" distR="0">
            <wp:extent cx="6781800" cy="4351020"/>
            <wp:effectExtent l="0" t="0" r="0" b="0"/>
            <wp:docPr id="2" name="Image 2" descr="C:\Temp\Bloomberg\temp\bfm2A6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2A6D.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74297" cy="4346206"/>
                    </a:xfrm>
                    <a:prstGeom prst="rect">
                      <a:avLst/>
                    </a:prstGeom>
                    <a:noFill/>
                    <a:ln>
                      <a:noFill/>
                    </a:ln>
                  </pic:spPr>
                </pic:pic>
              </a:graphicData>
            </a:graphic>
          </wp:inline>
        </w:drawing>
      </w:r>
    </w:p>
    <w:p w:rsidR="000D4E0C" w:rsidRDefault="000D4E0C" w:rsidP="000D4E0C">
      <w:pPr>
        <w:autoSpaceDE w:val="0"/>
        <w:ind w:left="-850"/>
        <w:jc w:val="both"/>
        <w:rPr>
          <w:rFonts w:ascii="Arial" w:hAnsi="Arial" w:cs="Arial"/>
          <w:b/>
          <w:sz w:val="28"/>
          <w:szCs w:val="28"/>
          <w:u w:val="single"/>
          <w:lang w:val="en-US"/>
        </w:rPr>
      </w:pPr>
      <w:r w:rsidRPr="00894BE9">
        <w:rPr>
          <w:rFonts w:ascii="Arial" w:hAnsi="Arial" w:cs="Arial"/>
          <w:b/>
          <w:sz w:val="28"/>
          <w:szCs w:val="28"/>
          <w:u w:val="single"/>
        </w:rPr>
        <w:t>Daily</w:t>
      </w:r>
    </w:p>
    <w:p w:rsidR="000D21A7" w:rsidRPr="000D4E0C" w:rsidRDefault="000D4E0C" w:rsidP="000D4E0C">
      <w:pPr>
        <w:autoSpaceDE w:val="0"/>
        <w:ind w:left="-850"/>
        <w:jc w:val="both"/>
        <w:rPr>
          <w:rFonts w:ascii="Arial" w:hAnsi="Arial" w:cs="Arial"/>
          <w:b/>
          <w:sz w:val="28"/>
          <w:szCs w:val="28"/>
          <w:u w:val="single"/>
          <w:lang w:val="en-US"/>
        </w:rPr>
      </w:pPr>
      <w:r>
        <w:rPr>
          <w:rFonts w:ascii="Arial" w:hAnsi="Arial" w:cs="Arial"/>
          <w:b/>
          <w:noProof/>
          <w:sz w:val="28"/>
          <w:szCs w:val="28"/>
          <w:u w:val="single"/>
        </w:rPr>
        <w:drawing>
          <wp:inline distT="0" distB="0" distL="0" distR="0" wp14:anchorId="63B7CCBF" wp14:editId="1D3697B3">
            <wp:extent cx="6690360" cy="3101340"/>
            <wp:effectExtent l="0" t="0" r="0" b="3810"/>
            <wp:docPr id="1" name="Image 1" descr="C:\Temp\Bloomberg\temp\bfmBA2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BA2D.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91298" cy="3101775"/>
                    </a:xfrm>
                    <a:prstGeom prst="rect">
                      <a:avLst/>
                    </a:prstGeom>
                    <a:noFill/>
                    <a:ln>
                      <a:noFill/>
                    </a:ln>
                  </pic:spPr>
                </pic:pic>
              </a:graphicData>
            </a:graphic>
          </wp:inline>
        </w:drawing>
      </w:r>
    </w:p>
    <w:p w:rsidR="00EE13D1" w:rsidRDefault="00F72829" w:rsidP="008631EB">
      <w:pPr>
        <w:jc w:val="both"/>
        <w:rPr>
          <w:rFonts w:ascii="Tahoma" w:hAnsi="Tahoma" w:cs="Tahoma"/>
        </w:rPr>
      </w:pPr>
      <w:r w:rsidRPr="008631EB">
        <w:rPr>
          <w:rFonts w:ascii="Arial" w:hAnsi="Arial" w:cs="Arial"/>
          <w:b/>
        </w:rPr>
        <w:t>M</w:t>
      </w:r>
      <w:r w:rsidR="00DC3AA6" w:rsidRPr="008631EB">
        <w:rPr>
          <w:rFonts w:ascii="Arial" w:hAnsi="Arial" w:cs="Arial"/>
          <w:b/>
        </w:rPr>
        <w:t xml:space="preserve"> : </w:t>
      </w:r>
      <w:r w:rsidR="003261EE">
        <w:rPr>
          <w:rFonts w:ascii="Tahoma" w:hAnsi="Tahoma" w:cs="Tahoma"/>
        </w:rPr>
        <w:t xml:space="preserve">Le contexte de long terme reste baissier, taux et courbe Ichimoku évoluent sous leur nuage. </w:t>
      </w:r>
      <w:r w:rsidR="008631EB">
        <w:rPr>
          <w:rFonts w:ascii="Tahoma" w:hAnsi="Tahoma" w:cs="Tahoma"/>
        </w:rPr>
        <w:t xml:space="preserve">La cassure de la TS </w:t>
      </w:r>
      <w:r w:rsidR="00A77E98">
        <w:rPr>
          <w:rFonts w:ascii="Tahoma" w:hAnsi="Tahoma" w:cs="Tahoma"/>
        </w:rPr>
        <w:t>de</w:t>
      </w:r>
      <w:r w:rsidR="008631EB">
        <w:rPr>
          <w:rFonts w:ascii="Tahoma" w:hAnsi="Tahoma" w:cs="Tahoma"/>
        </w:rPr>
        <w:t xml:space="preserve"> 0.54 permet d’envisager une baisse en direction de la KS. De par sa construction, cette courbe restera plate </w:t>
      </w:r>
      <w:r w:rsidR="003261EE">
        <w:rPr>
          <w:rFonts w:ascii="Tahoma" w:hAnsi="Tahoma" w:cs="Tahoma"/>
        </w:rPr>
        <w:t>plusieurs mois</w:t>
      </w:r>
      <w:r w:rsidR="008631EB">
        <w:rPr>
          <w:rFonts w:ascii="Tahoma" w:hAnsi="Tahoma" w:cs="Tahoma"/>
        </w:rPr>
        <w:t xml:space="preserve"> sur 0.30.</w:t>
      </w:r>
      <w:r w:rsidR="00B5410C">
        <w:rPr>
          <w:rFonts w:ascii="Tahoma" w:hAnsi="Tahoma" w:cs="Tahoma"/>
        </w:rPr>
        <w:t xml:space="preserve"> </w:t>
      </w:r>
      <w:r w:rsidR="0009578D">
        <w:rPr>
          <w:rFonts w:ascii="Tahoma" w:hAnsi="Tahoma" w:cs="Tahoma"/>
        </w:rPr>
        <w:t xml:space="preserve">La baisse </w:t>
      </w:r>
      <w:r w:rsidR="003261EE">
        <w:rPr>
          <w:rFonts w:ascii="Tahoma" w:hAnsi="Tahoma" w:cs="Tahoma"/>
        </w:rPr>
        <w:t>sera</w:t>
      </w:r>
      <w:r w:rsidR="0009578D">
        <w:rPr>
          <w:rFonts w:ascii="Tahoma" w:hAnsi="Tahoma" w:cs="Tahoma"/>
        </w:rPr>
        <w:t xml:space="preserve"> limitée par </w:t>
      </w:r>
      <w:r w:rsidR="003261EE">
        <w:rPr>
          <w:rFonts w:ascii="Tahoma" w:hAnsi="Tahoma" w:cs="Tahoma"/>
        </w:rPr>
        <w:t xml:space="preserve">le </w:t>
      </w:r>
      <w:r w:rsidR="0009578D">
        <w:rPr>
          <w:rFonts w:ascii="Tahoma" w:hAnsi="Tahoma" w:cs="Tahoma"/>
        </w:rPr>
        <w:t xml:space="preserve">support </w:t>
      </w:r>
      <w:r w:rsidR="003261EE">
        <w:rPr>
          <w:rFonts w:ascii="Tahoma" w:hAnsi="Tahoma" w:cs="Tahoma"/>
        </w:rPr>
        <w:t>de</w:t>
      </w:r>
      <w:r w:rsidR="0009578D">
        <w:rPr>
          <w:rFonts w:ascii="Tahoma" w:hAnsi="Tahoma" w:cs="Tahoma"/>
        </w:rPr>
        <w:t xml:space="preserve"> 0.30 qui en dehors du plat de KS du taux représente un bas de taux pour la LS.</w:t>
      </w:r>
    </w:p>
    <w:p w:rsidR="003A1222" w:rsidRDefault="003A1222" w:rsidP="008631EB">
      <w:pPr>
        <w:jc w:val="both"/>
        <w:rPr>
          <w:rFonts w:ascii="Tahoma" w:hAnsi="Tahoma" w:cs="Tahoma"/>
        </w:rPr>
      </w:pPr>
    </w:p>
    <w:p w:rsidR="003A1222" w:rsidRDefault="003A1222" w:rsidP="003A1222">
      <w:pPr>
        <w:jc w:val="both"/>
        <w:rPr>
          <w:rFonts w:ascii="Tahoma" w:hAnsi="Tahoma" w:cs="Tahoma"/>
        </w:rPr>
      </w:pPr>
      <w:r w:rsidRPr="008631EB">
        <w:rPr>
          <w:rFonts w:ascii="Arial" w:hAnsi="Arial" w:cs="Arial"/>
          <w:b/>
          <w:bCs/>
        </w:rPr>
        <w:lastRenderedPageBreak/>
        <w:t xml:space="preserve">W : </w:t>
      </w:r>
      <w:r w:rsidRPr="008631EB">
        <w:rPr>
          <w:rFonts w:ascii="Tahoma" w:hAnsi="Tahoma" w:cs="Tahoma"/>
        </w:rPr>
        <w:t>L</w:t>
      </w:r>
      <w:r>
        <w:rPr>
          <w:rFonts w:ascii="Tahoma" w:hAnsi="Tahoma" w:cs="Tahoma"/>
        </w:rPr>
        <w:t>a cassure du support de 0.54 matérialisé</w:t>
      </w:r>
      <w:r w:rsidR="001C0911">
        <w:rPr>
          <w:rFonts w:ascii="Tahoma" w:hAnsi="Tahoma" w:cs="Tahoma"/>
        </w:rPr>
        <w:t>e</w:t>
      </w:r>
      <w:r>
        <w:rPr>
          <w:rFonts w:ascii="Tahoma" w:hAnsi="Tahoma" w:cs="Tahoma"/>
        </w:rPr>
        <w:t xml:space="preserve"> par un plat de KS</w:t>
      </w:r>
      <w:r w:rsidR="001C0911">
        <w:rPr>
          <w:rFonts w:ascii="Tahoma" w:hAnsi="Tahoma" w:cs="Tahoma"/>
        </w:rPr>
        <w:t>,</w:t>
      </w:r>
      <w:r>
        <w:rPr>
          <w:rFonts w:ascii="Tahoma" w:hAnsi="Tahoma" w:cs="Tahoma"/>
        </w:rPr>
        <w:t xml:space="preserve"> permet d’envisager une poursuite de la baisse sur son nuage. Ce dernier sera compris pour la semaine entre 0.39 et 0.30</w:t>
      </w:r>
      <w:r w:rsidR="001C0911">
        <w:rPr>
          <w:rFonts w:ascii="Tahoma" w:hAnsi="Tahoma" w:cs="Tahoma"/>
        </w:rPr>
        <w:t>.</w:t>
      </w:r>
      <w:r>
        <w:rPr>
          <w:rFonts w:ascii="Tahoma" w:hAnsi="Tahoma" w:cs="Tahoma"/>
        </w:rPr>
        <w:t xml:space="preserve"> </w:t>
      </w:r>
      <w:r w:rsidR="001C0911">
        <w:rPr>
          <w:rFonts w:ascii="Tahoma" w:hAnsi="Tahoma" w:cs="Tahoma"/>
        </w:rPr>
        <w:t>Il</w:t>
      </w:r>
      <w:r>
        <w:rPr>
          <w:rFonts w:ascii="Tahoma" w:hAnsi="Tahoma" w:cs="Tahoma"/>
        </w:rPr>
        <w:t xml:space="preserve"> formera une zone de support. Le biais sera favorable à la baisse sous 0.54 mais le plat de KS en tant que force de rappel, limitera le potentiel de baisse du taux.</w:t>
      </w:r>
    </w:p>
    <w:p w:rsidR="003A1222" w:rsidRPr="008631EB" w:rsidRDefault="003A1222" w:rsidP="003A1222">
      <w:pPr>
        <w:jc w:val="both"/>
        <w:rPr>
          <w:rFonts w:ascii="Tahoma" w:hAnsi="Tahoma" w:cs="Tahoma"/>
        </w:rPr>
      </w:pPr>
      <w:r>
        <w:rPr>
          <w:rFonts w:ascii="Tahoma" w:hAnsi="Tahoma" w:cs="Tahoma"/>
        </w:rPr>
        <w:t xml:space="preserve">La LS est arrivée dans une zone de support concrétisée par le niveau de taux de la fin du mois de septembre et par un plat de KS sur 0.39. En rupture de </w:t>
      </w:r>
      <w:r w:rsidR="001C0911">
        <w:rPr>
          <w:rFonts w:ascii="Tahoma" w:hAnsi="Tahoma" w:cs="Tahoma"/>
        </w:rPr>
        <w:t>0.39</w:t>
      </w:r>
      <w:r>
        <w:rPr>
          <w:rFonts w:ascii="Tahoma" w:hAnsi="Tahoma" w:cs="Tahoma"/>
        </w:rPr>
        <w:t xml:space="preserve">, la </w:t>
      </w:r>
      <w:r w:rsidR="001758CA">
        <w:rPr>
          <w:rFonts w:ascii="Tahoma" w:hAnsi="Tahoma" w:cs="Tahoma"/>
        </w:rPr>
        <w:t>LS trouvera</w:t>
      </w:r>
      <w:r>
        <w:rPr>
          <w:rFonts w:ascii="Tahoma" w:hAnsi="Tahoma" w:cs="Tahoma"/>
        </w:rPr>
        <w:t xml:space="preserve"> un espace vide pour venir chercher la bordure haute de son nuage sur 0.30.</w:t>
      </w:r>
    </w:p>
    <w:p w:rsidR="00A82504" w:rsidRDefault="00A82504" w:rsidP="008631EB">
      <w:pPr>
        <w:jc w:val="both"/>
        <w:rPr>
          <w:rFonts w:ascii="Tahoma" w:hAnsi="Tahoma" w:cs="Tahoma"/>
        </w:rPr>
      </w:pPr>
    </w:p>
    <w:p w:rsidR="00A82504" w:rsidRDefault="00A82504" w:rsidP="00A82504">
      <w:pPr>
        <w:jc w:val="both"/>
        <w:rPr>
          <w:rFonts w:ascii="Tahoma" w:hAnsi="Tahoma" w:cs="Tahoma"/>
        </w:rPr>
      </w:pPr>
      <w:r w:rsidRPr="008631EB">
        <w:rPr>
          <w:rFonts w:ascii="Arial" w:hAnsi="Arial" w:cs="Arial"/>
          <w:b/>
          <w:bCs/>
        </w:rPr>
        <w:t xml:space="preserve">D : </w:t>
      </w:r>
      <w:r w:rsidR="003A1222">
        <w:rPr>
          <w:rFonts w:ascii="Tahoma" w:hAnsi="Tahoma" w:cs="Tahoma"/>
        </w:rPr>
        <w:t xml:space="preserve">En s’établissant sous son nuage, le 10 ans Euro valide une rupture </w:t>
      </w:r>
      <w:r w:rsidR="001758CA">
        <w:rPr>
          <w:rFonts w:ascii="Tahoma" w:hAnsi="Tahoma" w:cs="Tahoma"/>
        </w:rPr>
        <w:t>baissière</w:t>
      </w:r>
      <w:r w:rsidR="003A1222">
        <w:rPr>
          <w:rFonts w:ascii="Tahoma" w:hAnsi="Tahoma" w:cs="Tahoma"/>
        </w:rPr>
        <w:t xml:space="preserve"> </w:t>
      </w:r>
      <w:r w:rsidR="001C0911">
        <w:rPr>
          <w:rFonts w:ascii="Tahoma" w:hAnsi="Tahoma" w:cs="Tahoma"/>
        </w:rPr>
        <w:t>après la</w:t>
      </w:r>
      <w:r w:rsidR="003A1222">
        <w:rPr>
          <w:rFonts w:ascii="Tahoma" w:hAnsi="Tahoma" w:cs="Tahoma"/>
        </w:rPr>
        <w:t xml:space="preserve"> cassure de 0.54. Le biais sera favorable à la baisse </w:t>
      </w:r>
      <w:r w:rsidR="001C0911">
        <w:rPr>
          <w:rFonts w:ascii="Tahoma" w:hAnsi="Tahoma" w:cs="Tahoma"/>
        </w:rPr>
        <w:t>ce point</w:t>
      </w:r>
      <w:r w:rsidR="003A1222">
        <w:rPr>
          <w:rFonts w:ascii="Tahoma" w:hAnsi="Tahoma" w:cs="Tahoma"/>
        </w:rPr>
        <w:t xml:space="preserve"> résistance.</w:t>
      </w:r>
    </w:p>
    <w:p w:rsidR="003A1222" w:rsidRDefault="003A1222" w:rsidP="00A82504">
      <w:pPr>
        <w:jc w:val="both"/>
        <w:rPr>
          <w:rFonts w:ascii="Tahoma" w:hAnsi="Tahoma" w:cs="Tahoma"/>
        </w:rPr>
      </w:pPr>
      <w:r>
        <w:rPr>
          <w:rFonts w:ascii="Tahoma" w:hAnsi="Tahoma" w:cs="Tahoma"/>
        </w:rPr>
        <w:t>Le taux peut évoluer à la baisse sans contrainte et venir chercher les supports des unités de temps supérieur</w:t>
      </w:r>
      <w:r w:rsidR="00CB6C73">
        <w:rPr>
          <w:rFonts w:ascii="Tahoma" w:hAnsi="Tahoma" w:cs="Tahoma"/>
        </w:rPr>
        <w:t>e</w:t>
      </w:r>
      <w:r>
        <w:rPr>
          <w:rFonts w:ascii="Tahoma" w:hAnsi="Tahoma" w:cs="Tahoma"/>
        </w:rPr>
        <w:t>s.</w:t>
      </w:r>
    </w:p>
    <w:p w:rsidR="003A1222" w:rsidRDefault="003A1222" w:rsidP="00A82504">
      <w:pPr>
        <w:jc w:val="both"/>
        <w:rPr>
          <w:rFonts w:ascii="Tahoma" w:hAnsi="Tahoma" w:cs="Tahoma"/>
        </w:rPr>
      </w:pPr>
      <w:r>
        <w:rPr>
          <w:rFonts w:ascii="Tahoma" w:hAnsi="Tahoma" w:cs="Tahoma"/>
        </w:rPr>
        <w:t xml:space="preserve">Mais il reste à la LS un </w:t>
      </w:r>
      <w:r w:rsidR="00860835">
        <w:rPr>
          <w:rFonts w:ascii="Tahoma" w:hAnsi="Tahoma" w:cs="Tahoma"/>
        </w:rPr>
        <w:t>obstacle pour confirmer le contexte baissier de cour</w:t>
      </w:r>
      <w:r w:rsidR="00CB6C73">
        <w:rPr>
          <w:rFonts w:ascii="Tahoma" w:hAnsi="Tahoma" w:cs="Tahoma"/>
        </w:rPr>
        <w:t>t terme.</w:t>
      </w:r>
    </w:p>
    <w:p w:rsidR="00860835" w:rsidRPr="008631EB" w:rsidRDefault="00860835" w:rsidP="00A82504">
      <w:pPr>
        <w:jc w:val="both"/>
        <w:rPr>
          <w:rFonts w:ascii="Tahoma" w:hAnsi="Tahoma" w:cs="Tahoma"/>
        </w:rPr>
      </w:pPr>
      <w:r>
        <w:rPr>
          <w:rFonts w:ascii="Tahoma" w:hAnsi="Tahoma" w:cs="Tahoma"/>
        </w:rPr>
        <w:t xml:space="preserve">Le nuage de la LS forme un support qui sera compris entre 0.48 et 0.44 en début de semaine. La poursuite de la baisse sera conditionnée par le dépassement de cette zone en </w:t>
      </w:r>
      <w:r w:rsidR="001758CA">
        <w:rPr>
          <w:rFonts w:ascii="Tahoma" w:hAnsi="Tahoma" w:cs="Tahoma"/>
        </w:rPr>
        <w:t>clôture</w:t>
      </w:r>
      <w:r>
        <w:rPr>
          <w:rFonts w:ascii="Tahoma" w:hAnsi="Tahoma" w:cs="Tahoma"/>
        </w:rPr>
        <w:t>.</w:t>
      </w:r>
      <w:r w:rsidR="000874DF">
        <w:rPr>
          <w:rFonts w:ascii="Tahoma" w:hAnsi="Tahoma" w:cs="Tahoma"/>
        </w:rPr>
        <w:t xml:space="preserve"> Sans cette cassure le biais sera neutre entre 0.44 et 0.54.</w:t>
      </w:r>
      <w:r>
        <w:rPr>
          <w:rFonts w:ascii="Tahoma" w:hAnsi="Tahoma" w:cs="Tahoma"/>
        </w:rPr>
        <w:t xml:space="preserve"> </w:t>
      </w:r>
    </w:p>
    <w:p w:rsidR="00F72829" w:rsidRPr="000D4E0C" w:rsidRDefault="00A82504" w:rsidP="00F72829">
      <w:pPr>
        <w:jc w:val="both"/>
        <w:rPr>
          <w:rFonts w:ascii="Tahoma" w:hAnsi="Tahoma" w:cs="Tahoma"/>
          <w:bCs/>
        </w:rPr>
      </w:pPr>
      <w:r w:rsidRPr="008631EB">
        <w:rPr>
          <w:rFonts w:ascii="Tahoma" w:hAnsi="Tahoma" w:cs="Tahoma"/>
          <w:bCs/>
        </w:rPr>
        <w:t xml:space="preserve">   </w:t>
      </w:r>
    </w:p>
    <w:p w:rsidR="000E52E1" w:rsidRPr="00934473" w:rsidRDefault="00F72829" w:rsidP="00957245">
      <w:pPr>
        <w:jc w:val="both"/>
        <w:rPr>
          <w:rFonts w:ascii="Arial" w:hAnsi="Arial" w:cs="Arial"/>
          <w:b/>
          <w:color w:val="00B050"/>
        </w:rPr>
      </w:pPr>
      <w:r w:rsidRPr="00934473">
        <w:rPr>
          <w:rFonts w:ascii="Arial" w:hAnsi="Arial" w:cs="Arial"/>
          <w:b/>
          <w:color w:val="00B050"/>
          <w:u w:val="single"/>
        </w:rPr>
        <w:t>HEBDOMADAIRE</w:t>
      </w:r>
      <w:r w:rsidRPr="00934473">
        <w:rPr>
          <w:rFonts w:ascii="Arial" w:hAnsi="Arial" w:cs="Arial"/>
          <w:b/>
          <w:color w:val="00B050"/>
        </w:rPr>
        <w:t xml:space="preserve"> : </w:t>
      </w:r>
      <w:r w:rsidR="00416B48" w:rsidRPr="00934473">
        <w:rPr>
          <w:rFonts w:ascii="Arial" w:hAnsi="Arial" w:cs="Arial"/>
          <w:b/>
          <w:color w:val="00B050"/>
        </w:rPr>
        <w:t xml:space="preserve">La cassure de 0.54 avantage la poursuite de la baisse en direction des supports de moyen terme et </w:t>
      </w:r>
      <w:r w:rsidR="001758CA" w:rsidRPr="00934473">
        <w:rPr>
          <w:rFonts w:ascii="Arial" w:hAnsi="Arial" w:cs="Arial"/>
          <w:b/>
          <w:color w:val="00B050"/>
        </w:rPr>
        <w:t>de long</w:t>
      </w:r>
      <w:r w:rsidR="00416B48" w:rsidRPr="00934473">
        <w:rPr>
          <w:rFonts w:ascii="Arial" w:hAnsi="Arial" w:cs="Arial"/>
          <w:b/>
          <w:color w:val="00B050"/>
        </w:rPr>
        <w:t xml:space="preserve"> terme de 0.39 et de 0.30.</w:t>
      </w:r>
    </w:p>
    <w:p w:rsidR="00726F34" w:rsidRPr="00B03AED" w:rsidRDefault="00416B48" w:rsidP="003952D7">
      <w:pPr>
        <w:jc w:val="both"/>
        <w:rPr>
          <w:rFonts w:ascii="Arial" w:hAnsi="Arial" w:cs="Arial"/>
          <w:b/>
          <w:color w:val="00B050"/>
        </w:rPr>
      </w:pPr>
      <w:r w:rsidRPr="00934473">
        <w:rPr>
          <w:rFonts w:ascii="Arial" w:hAnsi="Arial" w:cs="Arial"/>
          <w:b/>
          <w:color w:val="00B050"/>
        </w:rPr>
        <w:t xml:space="preserve">Mais il reste sur le court terme une zone de </w:t>
      </w:r>
      <w:r w:rsidR="00A87371">
        <w:rPr>
          <w:rFonts w:ascii="Arial" w:hAnsi="Arial" w:cs="Arial"/>
          <w:b/>
          <w:color w:val="00B050"/>
        </w:rPr>
        <w:t>support</w:t>
      </w:r>
      <w:r w:rsidR="000F7250" w:rsidRPr="00934473">
        <w:rPr>
          <w:rFonts w:ascii="Arial" w:hAnsi="Arial" w:cs="Arial"/>
          <w:b/>
          <w:color w:val="00B050"/>
        </w:rPr>
        <w:t xml:space="preserve"> à franchir entre 0.48 et 0.44 pour placer cette unité de temps dans un environnement baissier et envisager un retour du marché </w:t>
      </w:r>
      <w:r w:rsidR="00B03AED">
        <w:rPr>
          <w:rFonts w:ascii="Arial" w:hAnsi="Arial" w:cs="Arial"/>
          <w:b/>
          <w:color w:val="00B050"/>
        </w:rPr>
        <w:t>sur les objectifs de long terme</w:t>
      </w:r>
    </w:p>
    <w:p w:rsidR="00E60B59" w:rsidRPr="00E74773" w:rsidRDefault="003E1B3F" w:rsidP="003952D7">
      <w:pPr>
        <w:jc w:val="both"/>
        <w:rPr>
          <w:rFonts w:ascii="Arial" w:hAnsi="Arial" w:cs="Arial"/>
          <w:b/>
          <w:bCs/>
          <w:sz w:val="36"/>
          <w:szCs w:val="36"/>
          <w:u w:val="single"/>
          <w:lang w:val="en-US"/>
        </w:rPr>
      </w:pPr>
      <w:r w:rsidRPr="00A40891">
        <w:rPr>
          <w:rFonts w:ascii="Arial" w:hAnsi="Arial" w:cs="Arial"/>
          <w:b/>
          <w:color w:val="FF0000"/>
        </w:rPr>
        <w:t xml:space="preserve">                                          </w:t>
      </w:r>
      <w:r w:rsidRPr="00E74773">
        <w:rPr>
          <w:rFonts w:ascii="Arial" w:hAnsi="Arial" w:cs="Arial"/>
          <w:b/>
          <w:bCs/>
          <w:sz w:val="36"/>
          <w:szCs w:val="36"/>
          <w:u w:val="single"/>
          <w:lang w:val="en-US"/>
        </w:rPr>
        <w:t>BUND</w:t>
      </w:r>
      <w:r w:rsidR="00E60B59" w:rsidRPr="00E74773">
        <w:rPr>
          <w:rFonts w:ascii="Arial" w:hAnsi="Arial" w:cs="Arial"/>
          <w:b/>
          <w:bCs/>
          <w:sz w:val="36"/>
          <w:szCs w:val="36"/>
          <w:u w:val="single"/>
          <w:lang w:val="en-US"/>
        </w:rPr>
        <w:t xml:space="preserve">   (week)</w:t>
      </w:r>
    </w:p>
    <w:p w:rsidR="003E1B3F" w:rsidRPr="00E74773" w:rsidRDefault="003E1B3F" w:rsidP="003952D7">
      <w:pPr>
        <w:jc w:val="both"/>
        <w:rPr>
          <w:rFonts w:ascii="Arial" w:hAnsi="Arial" w:cs="Arial"/>
          <w:b/>
          <w:color w:val="FF0000"/>
          <w:lang w:val="en-US"/>
        </w:rPr>
      </w:pPr>
    </w:p>
    <w:p w:rsidR="003E1B3F" w:rsidRPr="00E74773" w:rsidRDefault="00A00B42" w:rsidP="003952D7">
      <w:pPr>
        <w:jc w:val="both"/>
        <w:rPr>
          <w:rFonts w:ascii="Arial" w:hAnsi="Arial" w:cs="Arial"/>
          <w:b/>
          <w:color w:val="FF0000"/>
          <w:lang w:val="en-US"/>
        </w:rPr>
      </w:pPr>
      <w:r>
        <w:rPr>
          <w:noProof/>
        </w:rPr>
        <w:lastRenderedPageBreak/>
        <w:drawing>
          <wp:inline distT="0" distB="0" distL="0" distR="0" wp14:anchorId="3FD2D8AA" wp14:editId="32838C15">
            <wp:extent cx="5731510" cy="5126429"/>
            <wp:effectExtent l="0" t="0" r="254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5126429"/>
                    </a:xfrm>
                    <a:prstGeom prst="rect">
                      <a:avLst/>
                    </a:prstGeom>
                  </pic:spPr>
                </pic:pic>
              </a:graphicData>
            </a:graphic>
          </wp:inline>
        </w:drawing>
      </w:r>
    </w:p>
    <w:p w:rsidR="003E1B3F" w:rsidRPr="00E74773" w:rsidRDefault="003E1B3F" w:rsidP="003952D7">
      <w:pPr>
        <w:jc w:val="both"/>
        <w:rPr>
          <w:rFonts w:ascii="Arial" w:hAnsi="Arial" w:cs="Arial"/>
          <w:b/>
          <w:color w:val="FF0000"/>
          <w:lang w:val="en-US"/>
        </w:rPr>
      </w:pPr>
    </w:p>
    <w:p w:rsidR="00934473" w:rsidRDefault="003E1B3F" w:rsidP="00C955D5">
      <w:pPr>
        <w:jc w:val="both"/>
        <w:rPr>
          <w:rFonts w:ascii="Tahoma" w:hAnsi="Tahoma" w:cs="Tahoma"/>
        </w:rPr>
      </w:pPr>
      <w:r w:rsidRPr="00934473">
        <w:rPr>
          <w:rFonts w:ascii="Tahoma" w:hAnsi="Tahoma" w:cs="Tahoma"/>
        </w:rPr>
        <w:t xml:space="preserve">- </w:t>
      </w:r>
      <w:r w:rsidR="00875D08" w:rsidRPr="00934473">
        <w:rPr>
          <w:rFonts w:ascii="Tahoma" w:hAnsi="Tahoma" w:cs="Tahoma"/>
        </w:rPr>
        <w:t>La</w:t>
      </w:r>
      <w:r w:rsidR="00934473" w:rsidRPr="00934473">
        <w:rPr>
          <w:rFonts w:ascii="Tahoma" w:hAnsi="Tahoma" w:cs="Tahoma"/>
        </w:rPr>
        <w:t xml:space="preserve"> hausse s’est poursuivie avec une nouvelle bougie blanche </w:t>
      </w:r>
      <w:r w:rsidR="00934473">
        <w:rPr>
          <w:rFonts w:ascii="Tahoma" w:hAnsi="Tahoma" w:cs="Tahoma"/>
        </w:rPr>
        <w:t>dont le point haut se situe sur 159.69.</w:t>
      </w:r>
    </w:p>
    <w:p w:rsidR="004C1D94" w:rsidRDefault="004C1D94" w:rsidP="00C955D5">
      <w:pPr>
        <w:jc w:val="both"/>
        <w:rPr>
          <w:rFonts w:ascii="Tahoma" w:hAnsi="Tahoma" w:cs="Tahoma"/>
        </w:rPr>
      </w:pPr>
    </w:p>
    <w:p w:rsidR="00934473" w:rsidRDefault="00934473" w:rsidP="00C955D5">
      <w:pPr>
        <w:jc w:val="both"/>
        <w:rPr>
          <w:rFonts w:ascii="Tahoma" w:hAnsi="Tahoma" w:cs="Tahoma"/>
        </w:rPr>
      </w:pPr>
      <w:r>
        <w:rPr>
          <w:rFonts w:ascii="Tahoma" w:hAnsi="Tahoma" w:cs="Tahoma"/>
        </w:rPr>
        <w:t xml:space="preserve">- Cette chandelle est continuée de mèches et montre une détérioration de la conviction </w:t>
      </w:r>
      <w:r w:rsidR="008C46FE">
        <w:rPr>
          <w:rFonts w:ascii="Tahoma" w:hAnsi="Tahoma" w:cs="Tahoma"/>
        </w:rPr>
        <w:t xml:space="preserve">haussière </w:t>
      </w:r>
      <w:r>
        <w:rPr>
          <w:rFonts w:ascii="Tahoma" w:hAnsi="Tahoma" w:cs="Tahoma"/>
        </w:rPr>
        <w:t>sans pour autant indiquée de l’hésitation.</w:t>
      </w:r>
    </w:p>
    <w:p w:rsidR="00FD367A" w:rsidRPr="00934473" w:rsidRDefault="00934473" w:rsidP="00C955D5">
      <w:pPr>
        <w:jc w:val="both"/>
        <w:rPr>
          <w:rFonts w:ascii="Tahoma" w:hAnsi="Tahoma" w:cs="Tahoma"/>
        </w:rPr>
      </w:pPr>
      <w:r w:rsidRPr="00934473">
        <w:rPr>
          <w:rFonts w:ascii="Tahoma" w:hAnsi="Tahoma" w:cs="Tahoma"/>
        </w:rPr>
        <w:t xml:space="preserve"> </w:t>
      </w:r>
      <w:r w:rsidR="00875D08" w:rsidRPr="00934473">
        <w:rPr>
          <w:rFonts w:ascii="Tahoma" w:hAnsi="Tahoma" w:cs="Tahoma"/>
        </w:rPr>
        <w:t xml:space="preserve"> </w:t>
      </w:r>
    </w:p>
    <w:p w:rsidR="00875D08" w:rsidRDefault="00934473" w:rsidP="00AB20FB">
      <w:pPr>
        <w:jc w:val="both"/>
        <w:rPr>
          <w:rFonts w:ascii="Tahoma" w:hAnsi="Tahoma" w:cs="Tahoma"/>
        </w:rPr>
      </w:pPr>
      <w:r>
        <w:rPr>
          <w:rFonts w:ascii="Tahoma" w:hAnsi="Tahoma" w:cs="Tahoma"/>
        </w:rPr>
        <w:t>- Le plat de KS limite le potentiel de hausse des prix au précédent sommet de 161.12.</w:t>
      </w:r>
    </w:p>
    <w:p w:rsidR="00934473" w:rsidRDefault="00934473" w:rsidP="00AB20FB">
      <w:pPr>
        <w:jc w:val="both"/>
        <w:rPr>
          <w:rFonts w:ascii="Tahoma" w:hAnsi="Tahoma" w:cs="Tahoma"/>
        </w:rPr>
      </w:pPr>
    </w:p>
    <w:p w:rsidR="00934473" w:rsidRDefault="00934473" w:rsidP="00AB20FB">
      <w:pPr>
        <w:jc w:val="both"/>
        <w:rPr>
          <w:rFonts w:ascii="Tahoma" w:hAnsi="Tahoma" w:cs="Tahoma"/>
        </w:rPr>
      </w:pPr>
      <w:r>
        <w:rPr>
          <w:rFonts w:ascii="Tahoma" w:hAnsi="Tahoma" w:cs="Tahoma"/>
        </w:rPr>
        <w:t>- Le nuage futur ne soutient pas le mouvement et renforce l’idée que si la hausse se poursuit, elle sera limitée.</w:t>
      </w:r>
    </w:p>
    <w:p w:rsidR="00934473" w:rsidRDefault="00934473" w:rsidP="00AB20FB">
      <w:pPr>
        <w:jc w:val="both"/>
        <w:rPr>
          <w:rFonts w:ascii="Tahoma" w:hAnsi="Tahoma" w:cs="Tahoma"/>
        </w:rPr>
      </w:pPr>
    </w:p>
    <w:p w:rsidR="00934473" w:rsidRPr="00934473" w:rsidRDefault="00934473" w:rsidP="00AB20FB">
      <w:pPr>
        <w:jc w:val="both"/>
        <w:rPr>
          <w:rFonts w:ascii="Tahoma" w:hAnsi="Tahoma" w:cs="Tahoma"/>
        </w:rPr>
      </w:pPr>
      <w:r>
        <w:rPr>
          <w:rFonts w:ascii="Tahoma" w:hAnsi="Tahoma" w:cs="Tahoma"/>
        </w:rPr>
        <w:t xml:space="preserve">- La TS s’est dégagée de sa barrière de prix et apportera un soutien au marché cette semaine </w:t>
      </w:r>
      <w:r w:rsidR="001758CA">
        <w:rPr>
          <w:rFonts w:ascii="Tahoma" w:hAnsi="Tahoma" w:cs="Tahoma"/>
        </w:rPr>
        <w:t>au-dessus</w:t>
      </w:r>
      <w:r>
        <w:rPr>
          <w:rFonts w:ascii="Tahoma" w:hAnsi="Tahoma" w:cs="Tahoma"/>
        </w:rPr>
        <w:t xml:space="preserve"> de 158.85.</w:t>
      </w:r>
    </w:p>
    <w:p w:rsidR="00875D08" w:rsidRPr="00934473" w:rsidRDefault="00875D08" w:rsidP="00AB20FB">
      <w:pPr>
        <w:jc w:val="both"/>
        <w:rPr>
          <w:rFonts w:ascii="Tahoma" w:hAnsi="Tahoma" w:cs="Tahoma"/>
        </w:rPr>
      </w:pPr>
    </w:p>
    <w:p w:rsidR="003E749D" w:rsidRPr="00934473" w:rsidRDefault="003E749D" w:rsidP="00AB20FB">
      <w:pPr>
        <w:jc w:val="both"/>
        <w:rPr>
          <w:rFonts w:ascii="Tahoma" w:hAnsi="Tahoma" w:cs="Tahoma"/>
        </w:rPr>
      </w:pPr>
    </w:p>
    <w:p w:rsidR="00875D08" w:rsidRPr="00934473" w:rsidRDefault="00875D08" w:rsidP="00AB20FB">
      <w:pPr>
        <w:jc w:val="both"/>
        <w:rPr>
          <w:rFonts w:ascii="Tahoma" w:hAnsi="Tahoma" w:cs="Tahoma"/>
        </w:rPr>
      </w:pPr>
    </w:p>
    <w:p w:rsidR="00E60B59" w:rsidRPr="00934473" w:rsidRDefault="00B35DBD" w:rsidP="003952D7">
      <w:pPr>
        <w:jc w:val="both"/>
        <w:rPr>
          <w:rFonts w:ascii="Arial" w:hAnsi="Arial" w:cs="Arial"/>
          <w:b/>
          <w:bCs/>
          <w:sz w:val="36"/>
          <w:szCs w:val="36"/>
          <w:u w:val="single"/>
        </w:rPr>
      </w:pPr>
      <w:r w:rsidRPr="00934473">
        <w:rPr>
          <w:rFonts w:ascii="Tahoma" w:hAnsi="Tahoma" w:cs="Tahoma"/>
        </w:rPr>
        <w:t xml:space="preserve">                                       </w:t>
      </w:r>
      <w:r w:rsidRPr="00934473">
        <w:rPr>
          <w:rFonts w:ascii="Arial" w:hAnsi="Arial" w:cs="Arial"/>
          <w:b/>
          <w:bCs/>
          <w:sz w:val="36"/>
          <w:szCs w:val="36"/>
          <w:u w:val="single"/>
        </w:rPr>
        <w:t>BUND   (day)</w:t>
      </w:r>
    </w:p>
    <w:p w:rsidR="00B35DBD" w:rsidRPr="00934473" w:rsidRDefault="00B35DBD" w:rsidP="003952D7">
      <w:pPr>
        <w:jc w:val="both"/>
        <w:rPr>
          <w:rFonts w:ascii="Tahoma" w:hAnsi="Tahoma" w:cs="Tahoma"/>
        </w:rPr>
      </w:pPr>
    </w:p>
    <w:p w:rsidR="00B35DBD" w:rsidRPr="00934473" w:rsidRDefault="00B35DBD" w:rsidP="003952D7">
      <w:pPr>
        <w:jc w:val="both"/>
        <w:rPr>
          <w:rFonts w:ascii="Arial" w:hAnsi="Arial" w:cs="Arial"/>
          <w:b/>
          <w:color w:val="FF0000"/>
        </w:rPr>
      </w:pPr>
    </w:p>
    <w:p w:rsidR="00A84247" w:rsidRPr="00934473" w:rsidRDefault="005A7A3E" w:rsidP="003952D7">
      <w:pPr>
        <w:jc w:val="both"/>
        <w:rPr>
          <w:rFonts w:ascii="Arial" w:hAnsi="Arial" w:cs="Arial"/>
          <w:b/>
        </w:rPr>
      </w:pPr>
      <w:r>
        <w:rPr>
          <w:noProof/>
        </w:rPr>
        <w:drawing>
          <wp:inline distT="0" distB="0" distL="0" distR="0" wp14:anchorId="61F46172" wp14:editId="5A9FC1E9">
            <wp:extent cx="5731510" cy="5126429"/>
            <wp:effectExtent l="0" t="0" r="254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5126429"/>
                    </a:xfrm>
                    <a:prstGeom prst="rect">
                      <a:avLst/>
                    </a:prstGeom>
                  </pic:spPr>
                </pic:pic>
              </a:graphicData>
            </a:graphic>
          </wp:inline>
        </w:drawing>
      </w:r>
    </w:p>
    <w:p w:rsidR="00B35DBD" w:rsidRPr="00934473" w:rsidRDefault="00B35DBD" w:rsidP="003952D7">
      <w:pPr>
        <w:jc w:val="both"/>
        <w:rPr>
          <w:rFonts w:ascii="Arial" w:hAnsi="Arial" w:cs="Arial"/>
          <w:b/>
          <w:color w:val="FF0000"/>
        </w:rPr>
      </w:pPr>
    </w:p>
    <w:p w:rsidR="00727A2F" w:rsidRDefault="003C27DA" w:rsidP="00C955D5">
      <w:pPr>
        <w:jc w:val="both"/>
        <w:rPr>
          <w:rFonts w:ascii="Tahoma" w:hAnsi="Tahoma" w:cs="Tahoma"/>
        </w:rPr>
      </w:pPr>
      <w:r>
        <w:rPr>
          <w:rFonts w:ascii="Tahoma" w:hAnsi="Tahoma" w:cs="Tahoma"/>
        </w:rPr>
        <w:t>- Après un haut à 159.69, les prix sont revenus dans la zone de résistance définie entre 159.20 et 159.40.</w:t>
      </w:r>
    </w:p>
    <w:p w:rsidR="003C27DA" w:rsidRDefault="003C27DA" w:rsidP="00C955D5">
      <w:pPr>
        <w:jc w:val="both"/>
        <w:rPr>
          <w:rFonts w:ascii="Tahoma" w:hAnsi="Tahoma" w:cs="Tahoma"/>
        </w:rPr>
      </w:pPr>
    </w:p>
    <w:p w:rsidR="003C27DA" w:rsidRDefault="003C27DA" w:rsidP="00C955D5">
      <w:pPr>
        <w:jc w:val="both"/>
        <w:rPr>
          <w:rFonts w:ascii="Tahoma" w:hAnsi="Tahoma" w:cs="Tahoma"/>
        </w:rPr>
      </w:pPr>
      <w:r>
        <w:rPr>
          <w:rFonts w:ascii="Tahoma" w:hAnsi="Tahoma" w:cs="Tahoma"/>
        </w:rPr>
        <w:t>- L’étoile filante</w:t>
      </w:r>
      <w:r w:rsidR="00416F1A">
        <w:rPr>
          <w:rFonts w:ascii="Tahoma" w:hAnsi="Tahoma" w:cs="Tahoma"/>
        </w:rPr>
        <w:t xml:space="preserve">, alerte baissière, </w:t>
      </w:r>
      <w:r>
        <w:rPr>
          <w:rFonts w:ascii="Tahoma" w:hAnsi="Tahoma" w:cs="Tahoma"/>
        </w:rPr>
        <w:t xml:space="preserve">ne s’est pas transformée en retournement. </w:t>
      </w:r>
      <w:r w:rsidR="00416F1A">
        <w:rPr>
          <w:rFonts w:ascii="Tahoma" w:hAnsi="Tahoma" w:cs="Tahoma"/>
        </w:rPr>
        <w:t>Même si elle</w:t>
      </w:r>
      <w:r>
        <w:rPr>
          <w:rFonts w:ascii="Tahoma" w:hAnsi="Tahoma" w:cs="Tahoma"/>
        </w:rPr>
        <w:t xml:space="preserve"> indique </w:t>
      </w:r>
      <w:r w:rsidR="00416F1A">
        <w:rPr>
          <w:rFonts w:ascii="Tahoma" w:hAnsi="Tahoma" w:cs="Tahoma"/>
        </w:rPr>
        <w:t>que la hausse n’a pas fait l’unanimité</w:t>
      </w:r>
      <w:r w:rsidR="00BA61B1">
        <w:rPr>
          <w:rFonts w:ascii="Tahoma" w:hAnsi="Tahoma" w:cs="Tahoma"/>
        </w:rPr>
        <w:t>,</w:t>
      </w:r>
      <w:r w:rsidR="00416F1A">
        <w:rPr>
          <w:rFonts w:ascii="Tahoma" w:hAnsi="Tahoma" w:cs="Tahoma"/>
        </w:rPr>
        <w:t xml:space="preserve"> la chandelle qui </w:t>
      </w:r>
      <w:r w:rsidR="001758CA">
        <w:rPr>
          <w:rFonts w:ascii="Tahoma" w:hAnsi="Tahoma" w:cs="Tahoma"/>
        </w:rPr>
        <w:t>la</w:t>
      </w:r>
      <w:r w:rsidR="00416F1A">
        <w:rPr>
          <w:rFonts w:ascii="Tahoma" w:hAnsi="Tahoma" w:cs="Tahoma"/>
        </w:rPr>
        <w:t xml:space="preserve"> suit </w:t>
      </w:r>
      <w:r w:rsidR="00403835">
        <w:rPr>
          <w:rFonts w:ascii="Tahoma" w:hAnsi="Tahoma" w:cs="Tahoma"/>
        </w:rPr>
        <w:t>montre que la baisse n’est pas encore l’alternative à ce comportement.</w:t>
      </w:r>
    </w:p>
    <w:p w:rsidR="00810D8C" w:rsidRDefault="00810D8C" w:rsidP="00C955D5">
      <w:pPr>
        <w:jc w:val="both"/>
        <w:rPr>
          <w:rFonts w:ascii="Tahoma" w:hAnsi="Tahoma" w:cs="Tahoma"/>
        </w:rPr>
      </w:pPr>
    </w:p>
    <w:p w:rsidR="00810D8C" w:rsidRPr="00934473" w:rsidRDefault="00810D8C" w:rsidP="00C955D5">
      <w:pPr>
        <w:jc w:val="both"/>
        <w:rPr>
          <w:rFonts w:ascii="Tahoma" w:hAnsi="Tahoma" w:cs="Tahoma"/>
        </w:rPr>
      </w:pPr>
      <w:r>
        <w:rPr>
          <w:rFonts w:ascii="Tahoma" w:hAnsi="Tahoma" w:cs="Tahoma"/>
        </w:rPr>
        <w:t xml:space="preserve">- La cassure du nuage par la LS est positive. Elle place le marché dans un environnement haussier de court terme. Les prix devront continuer de </w:t>
      </w:r>
      <w:r w:rsidR="001758CA">
        <w:rPr>
          <w:rFonts w:ascii="Tahoma" w:hAnsi="Tahoma" w:cs="Tahoma"/>
        </w:rPr>
        <w:t>clôturer</w:t>
      </w:r>
      <w:r>
        <w:rPr>
          <w:rFonts w:ascii="Tahoma" w:hAnsi="Tahoma" w:cs="Tahoma"/>
        </w:rPr>
        <w:t xml:space="preserve"> </w:t>
      </w:r>
      <w:r w:rsidR="001758CA">
        <w:rPr>
          <w:rFonts w:ascii="Tahoma" w:hAnsi="Tahoma" w:cs="Tahoma"/>
        </w:rPr>
        <w:t>au-dessus</w:t>
      </w:r>
      <w:r>
        <w:rPr>
          <w:rFonts w:ascii="Tahoma" w:hAnsi="Tahoma" w:cs="Tahoma"/>
        </w:rPr>
        <w:t xml:space="preserve"> de 159.20 pour ne pas remettre en question cet environnement.</w:t>
      </w:r>
    </w:p>
    <w:p w:rsidR="00AB20FB" w:rsidRPr="00934473" w:rsidRDefault="00AB20FB" w:rsidP="00AB20FB">
      <w:pPr>
        <w:jc w:val="both"/>
        <w:rPr>
          <w:rFonts w:ascii="Tahoma" w:hAnsi="Tahoma" w:cs="Tahoma"/>
        </w:rPr>
      </w:pPr>
    </w:p>
    <w:p w:rsidR="00DD404E" w:rsidRPr="00934473" w:rsidRDefault="00DD404E" w:rsidP="00AB20FB">
      <w:pPr>
        <w:jc w:val="both"/>
        <w:rPr>
          <w:rFonts w:ascii="Tahoma" w:hAnsi="Tahoma" w:cs="Tahoma"/>
        </w:rPr>
      </w:pPr>
    </w:p>
    <w:p w:rsidR="003E749D" w:rsidRDefault="003E749D" w:rsidP="00AB20FB">
      <w:pPr>
        <w:jc w:val="both"/>
        <w:rPr>
          <w:rFonts w:ascii="Tahoma" w:hAnsi="Tahoma" w:cs="Tahoma"/>
        </w:rPr>
      </w:pPr>
    </w:p>
    <w:p w:rsidR="006E6472" w:rsidRPr="00934473" w:rsidRDefault="006E6472" w:rsidP="00AB20FB">
      <w:pPr>
        <w:jc w:val="both"/>
        <w:rPr>
          <w:rFonts w:ascii="Tahoma" w:hAnsi="Tahoma" w:cs="Tahoma"/>
        </w:rPr>
      </w:pPr>
    </w:p>
    <w:p w:rsidR="00F72829" w:rsidRPr="00934473" w:rsidRDefault="004E02D3" w:rsidP="00F72829">
      <w:pPr>
        <w:jc w:val="both"/>
        <w:rPr>
          <w:rFonts w:ascii="Arial" w:hAnsi="Arial" w:cs="Arial"/>
          <w:b/>
          <w:bCs/>
          <w:sz w:val="36"/>
          <w:szCs w:val="36"/>
          <w:u w:val="single"/>
        </w:rPr>
      </w:pPr>
      <w:r w:rsidRPr="00934473">
        <w:rPr>
          <w:rFonts w:ascii="Arial" w:hAnsi="Arial" w:cs="Arial"/>
          <w:b/>
          <w:bCs/>
          <w:sz w:val="28"/>
          <w:szCs w:val="28"/>
        </w:rPr>
        <w:t xml:space="preserve"> </w:t>
      </w:r>
      <w:r w:rsidR="00F72829" w:rsidRPr="00934473">
        <w:rPr>
          <w:rFonts w:ascii="Arial" w:hAnsi="Arial" w:cs="Arial"/>
          <w:b/>
          <w:bCs/>
          <w:sz w:val="28"/>
          <w:szCs w:val="28"/>
        </w:rPr>
        <w:t xml:space="preserve">                                     </w:t>
      </w:r>
      <w:r w:rsidR="00F72829" w:rsidRPr="00934473">
        <w:rPr>
          <w:rFonts w:ascii="Arial" w:hAnsi="Arial" w:cs="Arial"/>
          <w:b/>
          <w:bCs/>
          <w:sz w:val="36"/>
          <w:szCs w:val="36"/>
          <w:u w:val="single"/>
        </w:rPr>
        <w:t xml:space="preserve">10 ans USA </w:t>
      </w:r>
    </w:p>
    <w:p w:rsidR="00F72829" w:rsidRPr="00934473" w:rsidRDefault="00F72829" w:rsidP="00F72829">
      <w:pPr>
        <w:tabs>
          <w:tab w:val="left" w:pos="4395"/>
        </w:tabs>
        <w:ind w:left="-850"/>
        <w:jc w:val="both"/>
        <w:rPr>
          <w:rFonts w:ascii="Arial" w:hAnsi="Arial" w:cs="Arial"/>
          <w:b/>
          <w:bCs/>
          <w:sz w:val="28"/>
          <w:szCs w:val="28"/>
          <w:u w:val="single"/>
        </w:rPr>
      </w:pPr>
    </w:p>
    <w:p w:rsidR="00F72829" w:rsidRPr="00934473" w:rsidRDefault="00F72829" w:rsidP="00BE257A">
      <w:pPr>
        <w:jc w:val="both"/>
        <w:rPr>
          <w:rFonts w:ascii="Arial" w:hAnsi="Arial" w:cs="Arial"/>
          <w:b/>
          <w:sz w:val="28"/>
          <w:szCs w:val="28"/>
          <w:u w:val="single"/>
        </w:rPr>
      </w:pPr>
      <w:r w:rsidRPr="00934473">
        <w:rPr>
          <w:rFonts w:ascii="Arial" w:hAnsi="Arial" w:cs="Arial"/>
          <w:b/>
          <w:sz w:val="28"/>
          <w:szCs w:val="28"/>
          <w:u w:val="single"/>
        </w:rPr>
        <w:lastRenderedPageBreak/>
        <w:t>Monthly</w:t>
      </w:r>
    </w:p>
    <w:p w:rsidR="00B03AED" w:rsidRDefault="00A00B42" w:rsidP="006E6472">
      <w:pPr>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850380" cy="3901440"/>
            <wp:effectExtent l="0" t="0" r="7620" b="3810"/>
            <wp:docPr id="8" name="Image 8" descr="C:\Temp\Bloomberg\temp\bfmE85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E854.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1020" cy="3901804"/>
                    </a:xfrm>
                    <a:prstGeom prst="rect">
                      <a:avLst/>
                    </a:prstGeom>
                    <a:noFill/>
                    <a:ln>
                      <a:noFill/>
                    </a:ln>
                  </pic:spPr>
                </pic:pic>
              </a:graphicData>
            </a:graphic>
          </wp:inline>
        </w:drawing>
      </w:r>
    </w:p>
    <w:p w:rsidR="00B03AED" w:rsidRDefault="00B03AED" w:rsidP="006E6472">
      <w:pPr>
        <w:jc w:val="both"/>
        <w:rPr>
          <w:rFonts w:ascii="Arial" w:hAnsi="Arial" w:cs="Arial"/>
          <w:b/>
          <w:bCs/>
          <w:sz w:val="28"/>
          <w:szCs w:val="28"/>
          <w:u w:val="single"/>
        </w:rPr>
      </w:pPr>
      <w:r w:rsidRPr="00934473">
        <w:rPr>
          <w:rFonts w:ascii="Arial" w:hAnsi="Arial" w:cs="Arial"/>
          <w:b/>
          <w:bCs/>
          <w:sz w:val="28"/>
          <w:szCs w:val="28"/>
          <w:u w:val="single"/>
        </w:rPr>
        <w:t>Weekly</w:t>
      </w:r>
    </w:p>
    <w:p w:rsidR="006E6472" w:rsidRDefault="00B03AED" w:rsidP="006E6472">
      <w:pPr>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14:anchorId="5B997313" wp14:editId="28E091A5">
            <wp:extent cx="6850380" cy="3992880"/>
            <wp:effectExtent l="0" t="0" r="7620" b="7620"/>
            <wp:docPr id="7" name="Image 7" descr="C:\Temp\Bloomberg\temp\bfm96A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96AB.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0380" cy="3992880"/>
                    </a:xfrm>
                    <a:prstGeom prst="rect">
                      <a:avLst/>
                    </a:prstGeom>
                    <a:noFill/>
                    <a:ln>
                      <a:noFill/>
                    </a:ln>
                  </pic:spPr>
                </pic:pic>
              </a:graphicData>
            </a:graphic>
          </wp:inline>
        </w:drawing>
      </w:r>
    </w:p>
    <w:p w:rsidR="00B03AED" w:rsidRPr="00934473" w:rsidRDefault="00B03AED" w:rsidP="006E6472">
      <w:pPr>
        <w:ind w:left="-850"/>
        <w:jc w:val="both"/>
        <w:rPr>
          <w:rFonts w:ascii="Arial" w:hAnsi="Arial" w:cs="Arial"/>
          <w:b/>
          <w:bCs/>
          <w:sz w:val="28"/>
          <w:szCs w:val="28"/>
          <w:u w:val="single"/>
        </w:rPr>
      </w:pPr>
      <w:r w:rsidRPr="00934473">
        <w:rPr>
          <w:rFonts w:ascii="Arial" w:hAnsi="Arial" w:cs="Arial"/>
          <w:b/>
          <w:bCs/>
          <w:sz w:val="28"/>
          <w:szCs w:val="28"/>
          <w:u w:val="single"/>
        </w:rPr>
        <w:t xml:space="preserve">Daily </w:t>
      </w:r>
    </w:p>
    <w:p w:rsidR="00D2583B" w:rsidRDefault="00B03AED" w:rsidP="006E6472">
      <w:pPr>
        <w:ind w:left="-850"/>
        <w:jc w:val="both"/>
        <w:rPr>
          <w:rFonts w:ascii="Arial" w:hAnsi="Arial" w:cs="Arial"/>
          <w:b/>
          <w:bCs/>
          <w:sz w:val="28"/>
          <w:szCs w:val="28"/>
          <w:u w:val="single"/>
        </w:rPr>
      </w:pPr>
      <w:r>
        <w:rPr>
          <w:rFonts w:ascii="Arial" w:hAnsi="Arial" w:cs="Arial"/>
          <w:b/>
          <w:bCs/>
          <w:noProof/>
          <w:sz w:val="28"/>
          <w:szCs w:val="28"/>
          <w:u w:val="single"/>
        </w:rPr>
        <w:lastRenderedPageBreak/>
        <w:drawing>
          <wp:inline distT="0" distB="0" distL="0" distR="0" wp14:anchorId="2A753046" wp14:editId="6CC9BF06">
            <wp:extent cx="6743700" cy="3048000"/>
            <wp:effectExtent l="0" t="0" r="0" b="0"/>
            <wp:docPr id="6" name="Image 6" descr="C:\Temp\Bloomberg\temp\bfm908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9083.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37090" cy="3045012"/>
                    </a:xfrm>
                    <a:prstGeom prst="rect">
                      <a:avLst/>
                    </a:prstGeom>
                    <a:noFill/>
                    <a:ln>
                      <a:noFill/>
                    </a:ln>
                  </pic:spPr>
                </pic:pic>
              </a:graphicData>
            </a:graphic>
          </wp:inline>
        </w:drawing>
      </w:r>
    </w:p>
    <w:p w:rsidR="00D2583B" w:rsidRDefault="00D2583B" w:rsidP="00D2583B">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Pr>
          <w:rFonts w:ascii="Tahoma" w:hAnsi="Tahoma" w:cs="Tahoma"/>
        </w:rPr>
        <w:t>La baisse du 10 ans US reste inscrite dans un environnement haussier. Un début de remise en question de ce contexte passera par un retour de la LS sous son plat de nuage de 2.69.</w:t>
      </w:r>
    </w:p>
    <w:p w:rsidR="00D2583B" w:rsidRDefault="00D2583B" w:rsidP="00D2583B">
      <w:pPr>
        <w:tabs>
          <w:tab w:val="left" w:pos="5868"/>
        </w:tabs>
        <w:autoSpaceDE w:val="0"/>
        <w:jc w:val="both"/>
        <w:rPr>
          <w:rFonts w:ascii="Tahoma" w:hAnsi="Tahoma" w:cs="Tahoma"/>
        </w:rPr>
      </w:pPr>
      <w:r>
        <w:rPr>
          <w:rFonts w:ascii="Tahoma" w:hAnsi="Tahoma" w:cs="Tahoma"/>
        </w:rPr>
        <w:t xml:space="preserve">Les nombreux plats qui se développent sur cette unité de temps indiquent que sous 2.95 (point haut du mois de février), le marché n’est plus en </w:t>
      </w:r>
      <w:r w:rsidR="00BA61B1">
        <w:rPr>
          <w:rFonts w:ascii="Tahoma" w:hAnsi="Tahoma" w:cs="Tahoma"/>
        </w:rPr>
        <w:t>tendance</w:t>
      </w:r>
      <w:r>
        <w:rPr>
          <w:rFonts w:ascii="Tahoma" w:hAnsi="Tahoma" w:cs="Tahoma"/>
        </w:rPr>
        <w:t xml:space="preserve">. </w:t>
      </w:r>
    </w:p>
    <w:p w:rsidR="00D2583B" w:rsidRDefault="00D2583B" w:rsidP="00D2583B">
      <w:pPr>
        <w:tabs>
          <w:tab w:val="left" w:pos="5868"/>
        </w:tabs>
        <w:autoSpaceDE w:val="0"/>
        <w:jc w:val="both"/>
        <w:rPr>
          <w:rFonts w:ascii="Tahoma" w:hAnsi="Tahoma" w:cs="Tahoma"/>
        </w:rPr>
      </w:pPr>
      <w:r>
        <w:rPr>
          <w:rFonts w:ascii="Tahoma" w:hAnsi="Tahoma" w:cs="Tahoma"/>
        </w:rPr>
        <w:t xml:space="preserve">Un dépassement de 2.95 sera </w:t>
      </w:r>
      <w:r w:rsidR="001758CA">
        <w:rPr>
          <w:rFonts w:ascii="Tahoma" w:hAnsi="Tahoma" w:cs="Tahoma"/>
        </w:rPr>
        <w:t>nécessaire</w:t>
      </w:r>
      <w:r>
        <w:rPr>
          <w:rFonts w:ascii="Tahoma" w:hAnsi="Tahoma" w:cs="Tahoma"/>
        </w:rPr>
        <w:t xml:space="preserve"> pour replacer le taux dans un environnement favorable à une reprise de la dynamique haussière.</w:t>
      </w:r>
    </w:p>
    <w:p w:rsidR="00D2583B" w:rsidRDefault="00D2583B" w:rsidP="00D2583B">
      <w:pPr>
        <w:tabs>
          <w:tab w:val="left" w:pos="5868"/>
        </w:tabs>
        <w:autoSpaceDE w:val="0"/>
        <w:jc w:val="both"/>
        <w:rPr>
          <w:rFonts w:ascii="Tahoma" w:hAnsi="Tahoma" w:cs="Tahoma"/>
        </w:rPr>
      </w:pPr>
      <w:r>
        <w:rPr>
          <w:rFonts w:ascii="Tahoma" w:hAnsi="Tahoma" w:cs="Tahoma"/>
        </w:rPr>
        <w:t>Dans le cas contraire, sous 2.69, les plats serviront de supports. 2.57 plat de nuage passé et 2.48, plat de TS.</w:t>
      </w:r>
    </w:p>
    <w:p w:rsidR="00D2583B" w:rsidRDefault="00D2583B" w:rsidP="00D2583B">
      <w:pPr>
        <w:tabs>
          <w:tab w:val="left" w:pos="5868"/>
        </w:tabs>
        <w:autoSpaceDE w:val="0"/>
        <w:jc w:val="both"/>
        <w:rPr>
          <w:rFonts w:ascii="Tahoma" w:hAnsi="Tahoma" w:cs="Tahoma"/>
        </w:rPr>
      </w:pPr>
    </w:p>
    <w:p w:rsidR="00C65DC9" w:rsidRDefault="00D2583B" w:rsidP="00D2583B">
      <w:pPr>
        <w:jc w:val="both"/>
        <w:rPr>
          <w:rFonts w:ascii="Tahoma" w:hAnsi="Tahoma" w:cs="Tahoma"/>
          <w:bCs/>
        </w:rPr>
      </w:pPr>
      <w:r w:rsidRPr="00F950A8">
        <w:rPr>
          <w:rFonts w:ascii="Arial" w:hAnsi="Arial" w:cs="Arial"/>
          <w:b/>
          <w:bCs/>
        </w:rPr>
        <w:t xml:space="preserve">W : </w:t>
      </w:r>
      <w:r>
        <w:rPr>
          <w:rFonts w:ascii="Tahoma" w:hAnsi="Tahoma" w:cs="Tahoma"/>
          <w:bCs/>
        </w:rPr>
        <w:t>La</w:t>
      </w:r>
      <w:r w:rsidR="00702A9F">
        <w:rPr>
          <w:rFonts w:ascii="Tahoma" w:hAnsi="Tahoma" w:cs="Tahoma"/>
          <w:bCs/>
        </w:rPr>
        <w:t xml:space="preserve"> cassure de la TS de moyen terme est une alerte baissière qui signale la possibilité de voir le 10 ans US revenir sur sa KS </w:t>
      </w:r>
      <w:r w:rsidR="00C65DC9">
        <w:rPr>
          <w:rFonts w:ascii="Tahoma" w:hAnsi="Tahoma" w:cs="Tahoma"/>
          <w:bCs/>
        </w:rPr>
        <w:t>actuellement à 2.61.</w:t>
      </w:r>
    </w:p>
    <w:p w:rsidR="00273EF1" w:rsidRDefault="00C65DC9" w:rsidP="00D2583B">
      <w:pPr>
        <w:jc w:val="both"/>
        <w:rPr>
          <w:rFonts w:ascii="Tahoma" w:hAnsi="Tahoma" w:cs="Tahoma"/>
          <w:bCs/>
        </w:rPr>
      </w:pPr>
      <w:r>
        <w:rPr>
          <w:rFonts w:ascii="Tahoma" w:hAnsi="Tahoma" w:cs="Tahoma"/>
          <w:bCs/>
        </w:rPr>
        <w:t xml:space="preserve">Cette </w:t>
      </w:r>
      <w:r w:rsidR="00BA61B1">
        <w:rPr>
          <w:rFonts w:ascii="Tahoma" w:hAnsi="Tahoma" w:cs="Tahoma"/>
          <w:bCs/>
        </w:rPr>
        <w:t>K</w:t>
      </w:r>
      <w:r>
        <w:rPr>
          <w:rFonts w:ascii="Tahoma" w:hAnsi="Tahoma" w:cs="Tahoma"/>
          <w:bCs/>
        </w:rPr>
        <w:t>S renforce l’ancienne résistance de 2.63 qui dans une logique d’inversion des polarités devrait servir de support.</w:t>
      </w:r>
    </w:p>
    <w:p w:rsidR="00D2583B" w:rsidRDefault="00273EF1" w:rsidP="00D2583B">
      <w:pPr>
        <w:jc w:val="both"/>
        <w:rPr>
          <w:rFonts w:ascii="Tahoma" w:hAnsi="Tahoma" w:cs="Tahoma"/>
          <w:bCs/>
        </w:rPr>
      </w:pPr>
      <w:r>
        <w:rPr>
          <w:rFonts w:ascii="Tahoma" w:hAnsi="Tahoma" w:cs="Tahoma"/>
          <w:bCs/>
        </w:rPr>
        <w:t>Un maintien du marché sous le bas de 2.73 avantagera le scénario de poursuite de la baisse sur le support de 2.63.</w:t>
      </w:r>
      <w:r w:rsidR="00D2583B">
        <w:rPr>
          <w:rFonts w:ascii="Tahoma" w:hAnsi="Tahoma" w:cs="Tahoma"/>
          <w:bCs/>
        </w:rPr>
        <w:t xml:space="preserve"> </w:t>
      </w:r>
    </w:p>
    <w:p w:rsidR="00D2583B" w:rsidRPr="00934473" w:rsidRDefault="00D2583B" w:rsidP="00FA2131">
      <w:pPr>
        <w:jc w:val="both"/>
        <w:rPr>
          <w:rFonts w:ascii="Arial" w:hAnsi="Arial" w:cs="Arial"/>
          <w:b/>
          <w:bCs/>
          <w:sz w:val="28"/>
          <w:szCs w:val="28"/>
          <w:u w:val="single"/>
        </w:rPr>
      </w:pPr>
    </w:p>
    <w:p w:rsidR="00FA2131" w:rsidRDefault="00CF7FF8" w:rsidP="00C955D5">
      <w:pPr>
        <w:jc w:val="both"/>
        <w:rPr>
          <w:rFonts w:ascii="Tahoma" w:hAnsi="Tahoma" w:cs="Tahoma"/>
          <w:bCs/>
        </w:rPr>
      </w:pPr>
      <w:r w:rsidRPr="00F950A8">
        <w:rPr>
          <w:rFonts w:ascii="Arial" w:hAnsi="Arial" w:cs="Arial"/>
          <w:b/>
          <w:bCs/>
        </w:rPr>
        <w:t xml:space="preserve">D : </w:t>
      </w:r>
      <w:r w:rsidR="00FA2131">
        <w:rPr>
          <w:rFonts w:ascii="Tahoma" w:hAnsi="Tahoma" w:cs="Tahoma"/>
          <w:bCs/>
        </w:rPr>
        <w:t xml:space="preserve">La cassure du support de court terme de 2.80 favorisera la baisse tant que le taux se maintiendra sous ce </w:t>
      </w:r>
      <w:r w:rsidR="00BA61B1">
        <w:rPr>
          <w:rFonts w:ascii="Tahoma" w:hAnsi="Tahoma" w:cs="Tahoma"/>
          <w:bCs/>
        </w:rPr>
        <w:t>point</w:t>
      </w:r>
      <w:r w:rsidR="00FA2131">
        <w:rPr>
          <w:rFonts w:ascii="Tahoma" w:hAnsi="Tahoma" w:cs="Tahoma"/>
          <w:bCs/>
        </w:rPr>
        <w:t>.</w:t>
      </w:r>
    </w:p>
    <w:p w:rsidR="00CE068E" w:rsidRPr="00F950A8" w:rsidRDefault="004E2FE7" w:rsidP="00C955D5">
      <w:pPr>
        <w:jc w:val="both"/>
        <w:rPr>
          <w:rFonts w:ascii="Tahoma" w:hAnsi="Tahoma" w:cs="Tahoma"/>
          <w:bCs/>
        </w:rPr>
      </w:pPr>
      <w:r>
        <w:rPr>
          <w:rFonts w:ascii="Tahoma" w:hAnsi="Tahoma" w:cs="Tahoma"/>
          <w:bCs/>
        </w:rPr>
        <w:t xml:space="preserve">La poursuite de la baisse est conditionnée par une cassure de la KS de la LS qui se situait en </w:t>
      </w:r>
      <w:r w:rsidR="001758CA">
        <w:rPr>
          <w:rFonts w:ascii="Tahoma" w:hAnsi="Tahoma" w:cs="Tahoma"/>
          <w:bCs/>
        </w:rPr>
        <w:t>clôture</w:t>
      </w:r>
      <w:r>
        <w:rPr>
          <w:rFonts w:ascii="Tahoma" w:hAnsi="Tahoma" w:cs="Tahoma"/>
          <w:bCs/>
        </w:rPr>
        <w:t xml:space="preserve"> hebdomadaire sur 2.73. Cette courbe progressera au cours </w:t>
      </w:r>
      <w:r w:rsidR="00BA61B1">
        <w:rPr>
          <w:rFonts w:ascii="Tahoma" w:hAnsi="Tahoma" w:cs="Tahoma"/>
          <w:bCs/>
        </w:rPr>
        <w:t>des prochaines séance</w:t>
      </w:r>
      <w:r w:rsidR="009B4D2D">
        <w:rPr>
          <w:rFonts w:ascii="Tahoma" w:hAnsi="Tahoma" w:cs="Tahoma"/>
          <w:bCs/>
        </w:rPr>
        <w:t>s</w:t>
      </w:r>
      <w:r>
        <w:rPr>
          <w:rFonts w:ascii="Tahoma" w:hAnsi="Tahoma" w:cs="Tahoma"/>
          <w:bCs/>
        </w:rPr>
        <w:t xml:space="preserve"> pour terminer </w:t>
      </w:r>
      <w:r w:rsidR="00BA61B1">
        <w:rPr>
          <w:rFonts w:ascii="Tahoma" w:hAnsi="Tahoma" w:cs="Tahoma"/>
          <w:bCs/>
        </w:rPr>
        <w:t xml:space="preserve">la semaine </w:t>
      </w:r>
      <w:r>
        <w:rPr>
          <w:rFonts w:ascii="Tahoma" w:hAnsi="Tahoma" w:cs="Tahoma"/>
          <w:bCs/>
        </w:rPr>
        <w:t>sur 2.80</w:t>
      </w:r>
      <w:r w:rsidR="00BA61B1">
        <w:rPr>
          <w:rFonts w:ascii="Tahoma" w:hAnsi="Tahoma" w:cs="Tahoma"/>
          <w:bCs/>
        </w:rPr>
        <w:t>.</w:t>
      </w:r>
      <w:r>
        <w:rPr>
          <w:rFonts w:ascii="Tahoma" w:hAnsi="Tahoma" w:cs="Tahoma"/>
          <w:bCs/>
        </w:rPr>
        <w:t xml:space="preserve"> </w:t>
      </w:r>
      <w:r w:rsidR="009B4D2D">
        <w:rPr>
          <w:rFonts w:ascii="Tahoma" w:hAnsi="Tahoma" w:cs="Tahoma"/>
          <w:bCs/>
        </w:rPr>
        <w:t>Cette observation renforce</w:t>
      </w:r>
      <w:r>
        <w:rPr>
          <w:rFonts w:ascii="Tahoma" w:hAnsi="Tahoma" w:cs="Tahoma"/>
          <w:bCs/>
        </w:rPr>
        <w:t xml:space="preserve"> l’idée que 2.80 sera la résistance à ne pas dépasser pour envisager une poursuite de la baisse sur 2.63.</w:t>
      </w:r>
      <w:r w:rsidR="00C2005B">
        <w:rPr>
          <w:rFonts w:ascii="Tahoma" w:hAnsi="Tahoma" w:cs="Tahoma"/>
          <w:bCs/>
        </w:rPr>
        <w:t xml:space="preserve"> Il est </w:t>
      </w:r>
      <w:r w:rsidR="001758CA">
        <w:rPr>
          <w:rFonts w:ascii="Tahoma" w:hAnsi="Tahoma" w:cs="Tahoma"/>
          <w:bCs/>
        </w:rPr>
        <w:t>intéressant</w:t>
      </w:r>
      <w:r w:rsidR="00C2005B">
        <w:rPr>
          <w:rFonts w:ascii="Tahoma" w:hAnsi="Tahoma" w:cs="Tahoma"/>
          <w:bCs/>
        </w:rPr>
        <w:t xml:space="preserve"> de remarquer que la borne basse du nuage du taux renforcera pour cette semaine le support 2.63.</w:t>
      </w:r>
    </w:p>
    <w:p w:rsidR="0093766C" w:rsidRPr="006E6472" w:rsidRDefault="00CF7FF8" w:rsidP="006E6472">
      <w:pPr>
        <w:jc w:val="both"/>
        <w:rPr>
          <w:rFonts w:ascii="Tahoma" w:hAnsi="Tahoma" w:cs="Tahoma"/>
          <w:bCs/>
        </w:rPr>
      </w:pPr>
      <w:r w:rsidRPr="00F950A8">
        <w:rPr>
          <w:rFonts w:ascii="Tahoma" w:hAnsi="Tahoma" w:cs="Tahoma"/>
          <w:bCs/>
        </w:rPr>
        <w:t xml:space="preserve">  </w:t>
      </w:r>
    </w:p>
    <w:p w:rsidR="00C955D5" w:rsidRPr="006E6472" w:rsidRDefault="00F72829" w:rsidP="00D43DAB">
      <w:pPr>
        <w:jc w:val="both"/>
        <w:rPr>
          <w:rFonts w:ascii="Arial" w:hAnsi="Arial" w:cs="Arial"/>
          <w:b/>
          <w:bCs/>
          <w:color w:val="00B050"/>
          <w:sz w:val="28"/>
          <w:szCs w:val="28"/>
        </w:rPr>
      </w:pPr>
      <w:r w:rsidRPr="00151A43">
        <w:rPr>
          <w:rFonts w:ascii="Arial" w:hAnsi="Arial" w:cs="Arial"/>
          <w:b/>
          <w:color w:val="00B050"/>
          <w:u w:val="single"/>
        </w:rPr>
        <w:t>HEBDOMADAIRE</w:t>
      </w:r>
      <w:r w:rsidRPr="00151A43">
        <w:rPr>
          <w:rFonts w:ascii="Arial" w:hAnsi="Arial" w:cs="Arial"/>
          <w:b/>
          <w:color w:val="00B050"/>
        </w:rPr>
        <w:t xml:space="preserve"> : </w:t>
      </w:r>
      <w:r w:rsidR="00151A43" w:rsidRPr="00151A43">
        <w:rPr>
          <w:rFonts w:ascii="Arial" w:hAnsi="Arial" w:cs="Arial"/>
          <w:b/>
          <w:color w:val="00B050"/>
        </w:rPr>
        <w:t xml:space="preserve">La cassure du support de 2.80 permet d’envisager une poursuite de la baisse du marché. Le 10 ans devra se maintenir sous ce point pour venir chercher son objectif de 2.63, support </w:t>
      </w:r>
      <w:r w:rsidR="00C82F97">
        <w:rPr>
          <w:rFonts w:ascii="Arial" w:hAnsi="Arial" w:cs="Arial"/>
          <w:b/>
          <w:color w:val="00B050"/>
        </w:rPr>
        <w:t>visible sur le</w:t>
      </w:r>
      <w:r w:rsidR="006E6472">
        <w:rPr>
          <w:rFonts w:ascii="Arial" w:hAnsi="Arial" w:cs="Arial"/>
          <w:b/>
          <w:color w:val="00B050"/>
        </w:rPr>
        <w:t xml:space="preserve"> moyen</w:t>
      </w:r>
      <w:r w:rsidR="00C82F97">
        <w:rPr>
          <w:rFonts w:ascii="Arial" w:hAnsi="Arial" w:cs="Arial"/>
          <w:b/>
          <w:color w:val="00B050"/>
        </w:rPr>
        <w:t xml:space="preserve"> terme</w:t>
      </w:r>
      <w:r w:rsidR="006E6472">
        <w:rPr>
          <w:rFonts w:ascii="Arial" w:hAnsi="Arial" w:cs="Arial"/>
          <w:b/>
          <w:color w:val="00B050"/>
        </w:rPr>
        <w:t xml:space="preserve"> et </w:t>
      </w:r>
      <w:r w:rsidR="00C82F97">
        <w:rPr>
          <w:rFonts w:ascii="Arial" w:hAnsi="Arial" w:cs="Arial"/>
          <w:b/>
          <w:color w:val="00B050"/>
        </w:rPr>
        <w:t>l</w:t>
      </w:r>
      <w:r w:rsidR="006E6472">
        <w:rPr>
          <w:rFonts w:ascii="Arial" w:hAnsi="Arial" w:cs="Arial"/>
          <w:b/>
          <w:color w:val="00B050"/>
        </w:rPr>
        <w:t>e court terme</w:t>
      </w:r>
      <w:r w:rsidR="00C82F97">
        <w:rPr>
          <w:rFonts w:ascii="Arial" w:hAnsi="Arial" w:cs="Arial"/>
          <w:b/>
          <w:color w:val="00B050"/>
        </w:rPr>
        <w:t>.</w:t>
      </w:r>
    </w:p>
    <w:p w:rsidR="00DC295E" w:rsidRPr="007019CA" w:rsidRDefault="00DC295E">
      <w:pPr>
        <w:rPr>
          <w:rFonts w:ascii="Arial" w:hAnsi="Arial" w:cs="Arial"/>
          <w:sz w:val="20"/>
          <w:szCs w:val="20"/>
        </w:rPr>
      </w:pPr>
      <w:bookmarkStart w:id="1" w:name="_GoBack"/>
      <w:bookmarkEnd w:id="0"/>
      <w:bookmarkEnd w:id="1"/>
    </w:p>
    <w:sectPr w:rsidR="00DC295E" w:rsidRPr="007019CA" w:rsidSect="0050573E">
      <w:footerReference w:type="default" r:id="rId16"/>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EAA" w:rsidRDefault="00632EAA" w:rsidP="00632EAA">
      <w:r>
        <w:separator/>
      </w:r>
    </w:p>
  </w:endnote>
  <w:endnote w:type="continuationSeparator" w:id="0">
    <w:p w:rsidR="00632EAA" w:rsidRDefault="00632EAA"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71801"/>
      <w:docPartObj>
        <w:docPartGallery w:val="Page Numbers (Bottom of Page)"/>
        <w:docPartUnique/>
      </w:docPartObj>
    </w:sdtPr>
    <w:sdtEndPr/>
    <w:sdtContent>
      <w:p w:rsidR="00645868" w:rsidRDefault="00645868">
        <w:pPr>
          <w:pStyle w:val="Pieddepage"/>
          <w:jc w:val="center"/>
        </w:pPr>
        <w:r>
          <w:fldChar w:fldCharType="begin"/>
        </w:r>
        <w:r>
          <w:instrText>PAGE   \* MERGEFORMAT</w:instrText>
        </w:r>
        <w:r>
          <w:fldChar w:fldCharType="separate"/>
        </w:r>
        <w:r w:rsidR="007019CA">
          <w:rPr>
            <w:noProof/>
          </w:rPr>
          <w:t>7</w:t>
        </w:r>
        <w:r>
          <w:fldChar w:fldCharType="end"/>
        </w:r>
      </w:p>
    </w:sdtContent>
  </w:sdt>
  <w:p w:rsidR="00031D2A" w:rsidRDefault="00160FF3">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12" name="MSIPCMe8d7410b9300e58861d98697"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160FF3" w:rsidRPr="00160FF3" w:rsidRDefault="00160FF3" w:rsidP="00160FF3">
                          <w:pPr>
                            <w:rPr>
                              <w:rFonts w:ascii="Calibri" w:hAnsi="Calibri" w:cs="Calibri"/>
                              <w:color w:val="737373"/>
                              <w:sz w:val="16"/>
                            </w:rPr>
                          </w:pPr>
                          <w:r w:rsidRPr="00160FF3">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e8d7410b9300e58861d98697"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" o:allowincell="f" filled="f" stroked="f" strokeweight=".5pt">
              <v:textbox inset="20pt,0,,0">
                <w:txbxContent>
                  <w:p w:rsidR="00160FF3" w:rsidRPr="00160FF3" w:rsidRDefault="00160FF3" w:rsidP="00160FF3">
                    <w:pPr>
                      <w:rPr>
                        <w:rFonts w:ascii="Calibri" w:hAnsi="Calibri" w:cs="Calibri"/>
                        <w:color w:val="737373"/>
                        <w:sz w:val="16"/>
                      </w:rPr>
                    </w:pPr>
                    <w:r w:rsidRPr="00160FF3">
                      <w:rPr>
                        <w:rFonts w:ascii="Calibri" w:hAnsi="Calibri" w:cs="Calibri"/>
                        <w:color w:val="737373"/>
                        <w:sz w:val="16"/>
                      </w:rPr>
                      <w:t>C2 - Internal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EAA" w:rsidRDefault="00632EAA" w:rsidP="00632EAA">
      <w:r>
        <w:separator/>
      </w:r>
    </w:p>
  </w:footnote>
  <w:footnote w:type="continuationSeparator" w:id="0">
    <w:p w:rsidR="00632EAA" w:rsidRDefault="00632EAA"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15DE9"/>
    <w:rsid w:val="00024342"/>
    <w:rsid w:val="00031AE3"/>
    <w:rsid w:val="00031D2A"/>
    <w:rsid w:val="00040AE9"/>
    <w:rsid w:val="00041F25"/>
    <w:rsid w:val="0005450A"/>
    <w:rsid w:val="000641C0"/>
    <w:rsid w:val="000679AC"/>
    <w:rsid w:val="00077732"/>
    <w:rsid w:val="000874DF"/>
    <w:rsid w:val="00090B79"/>
    <w:rsid w:val="00093D02"/>
    <w:rsid w:val="0009578D"/>
    <w:rsid w:val="0009601D"/>
    <w:rsid w:val="000A3D69"/>
    <w:rsid w:val="000A4A04"/>
    <w:rsid w:val="000C5BCC"/>
    <w:rsid w:val="000D17A4"/>
    <w:rsid w:val="000D21A7"/>
    <w:rsid w:val="000D4E0C"/>
    <w:rsid w:val="000D6642"/>
    <w:rsid w:val="000D7ED2"/>
    <w:rsid w:val="000E52E1"/>
    <w:rsid w:val="000E65BF"/>
    <w:rsid w:val="000F7250"/>
    <w:rsid w:val="00100473"/>
    <w:rsid w:val="00101F48"/>
    <w:rsid w:val="001155DC"/>
    <w:rsid w:val="00124CE0"/>
    <w:rsid w:val="0012530F"/>
    <w:rsid w:val="001420E9"/>
    <w:rsid w:val="00145281"/>
    <w:rsid w:val="00151611"/>
    <w:rsid w:val="00151A43"/>
    <w:rsid w:val="00152726"/>
    <w:rsid w:val="00160FF3"/>
    <w:rsid w:val="00174D90"/>
    <w:rsid w:val="001758CA"/>
    <w:rsid w:val="00175D7D"/>
    <w:rsid w:val="001802ED"/>
    <w:rsid w:val="00181C36"/>
    <w:rsid w:val="00194BF8"/>
    <w:rsid w:val="001B1120"/>
    <w:rsid w:val="001B1B61"/>
    <w:rsid w:val="001B313E"/>
    <w:rsid w:val="001C0911"/>
    <w:rsid w:val="001C0A29"/>
    <w:rsid w:val="001C6728"/>
    <w:rsid w:val="001D21C0"/>
    <w:rsid w:val="001D2CFB"/>
    <w:rsid w:val="001F0E5F"/>
    <w:rsid w:val="00206C2A"/>
    <w:rsid w:val="0021328A"/>
    <w:rsid w:val="00222827"/>
    <w:rsid w:val="00233557"/>
    <w:rsid w:val="00235DEB"/>
    <w:rsid w:val="0023751E"/>
    <w:rsid w:val="0025315D"/>
    <w:rsid w:val="00254989"/>
    <w:rsid w:val="00264ECA"/>
    <w:rsid w:val="00273EF1"/>
    <w:rsid w:val="00276D92"/>
    <w:rsid w:val="0027748F"/>
    <w:rsid w:val="00281F6C"/>
    <w:rsid w:val="00292AF0"/>
    <w:rsid w:val="002A322F"/>
    <w:rsid w:val="002A3CA4"/>
    <w:rsid w:val="002A63D2"/>
    <w:rsid w:val="002B0A38"/>
    <w:rsid w:val="002C101E"/>
    <w:rsid w:val="002C2834"/>
    <w:rsid w:val="002E337C"/>
    <w:rsid w:val="002E34FF"/>
    <w:rsid w:val="002E5E89"/>
    <w:rsid w:val="002E7D66"/>
    <w:rsid w:val="002F3091"/>
    <w:rsid w:val="002F6B57"/>
    <w:rsid w:val="0031071E"/>
    <w:rsid w:val="003166BC"/>
    <w:rsid w:val="00317596"/>
    <w:rsid w:val="003228D3"/>
    <w:rsid w:val="003233B1"/>
    <w:rsid w:val="003261EE"/>
    <w:rsid w:val="00330C78"/>
    <w:rsid w:val="00337BE0"/>
    <w:rsid w:val="00347D77"/>
    <w:rsid w:val="00352A1E"/>
    <w:rsid w:val="00354C96"/>
    <w:rsid w:val="00360110"/>
    <w:rsid w:val="00367239"/>
    <w:rsid w:val="00367599"/>
    <w:rsid w:val="003702C4"/>
    <w:rsid w:val="00377440"/>
    <w:rsid w:val="003948B3"/>
    <w:rsid w:val="003952D7"/>
    <w:rsid w:val="00397BA3"/>
    <w:rsid w:val="003A1222"/>
    <w:rsid w:val="003B2CFF"/>
    <w:rsid w:val="003C03CD"/>
    <w:rsid w:val="003C27DA"/>
    <w:rsid w:val="003E1B3F"/>
    <w:rsid w:val="003E5A71"/>
    <w:rsid w:val="003E749D"/>
    <w:rsid w:val="003F4023"/>
    <w:rsid w:val="003F6F10"/>
    <w:rsid w:val="00401AE1"/>
    <w:rsid w:val="00401F6A"/>
    <w:rsid w:val="00403835"/>
    <w:rsid w:val="004069F1"/>
    <w:rsid w:val="004110E2"/>
    <w:rsid w:val="00416B48"/>
    <w:rsid w:val="00416F1A"/>
    <w:rsid w:val="0043099C"/>
    <w:rsid w:val="00432974"/>
    <w:rsid w:val="00440575"/>
    <w:rsid w:val="00451C8C"/>
    <w:rsid w:val="00470E75"/>
    <w:rsid w:val="00476700"/>
    <w:rsid w:val="00490C20"/>
    <w:rsid w:val="004A7BFF"/>
    <w:rsid w:val="004B145B"/>
    <w:rsid w:val="004C107D"/>
    <w:rsid w:val="004C1D94"/>
    <w:rsid w:val="004C57CF"/>
    <w:rsid w:val="004C7595"/>
    <w:rsid w:val="004D02B8"/>
    <w:rsid w:val="004E02D3"/>
    <w:rsid w:val="004E2FE7"/>
    <w:rsid w:val="004F3E17"/>
    <w:rsid w:val="004F49FB"/>
    <w:rsid w:val="004F7DDC"/>
    <w:rsid w:val="0050573E"/>
    <w:rsid w:val="00514C7E"/>
    <w:rsid w:val="005224FA"/>
    <w:rsid w:val="0052288F"/>
    <w:rsid w:val="0054379C"/>
    <w:rsid w:val="00545E40"/>
    <w:rsid w:val="005530C2"/>
    <w:rsid w:val="0056419E"/>
    <w:rsid w:val="0059070C"/>
    <w:rsid w:val="005A7A3E"/>
    <w:rsid w:val="005B781D"/>
    <w:rsid w:val="005C3180"/>
    <w:rsid w:val="005C5E67"/>
    <w:rsid w:val="005D451E"/>
    <w:rsid w:val="005E4948"/>
    <w:rsid w:val="005F7340"/>
    <w:rsid w:val="006048FD"/>
    <w:rsid w:val="00620D34"/>
    <w:rsid w:val="0062397C"/>
    <w:rsid w:val="00632EAA"/>
    <w:rsid w:val="00643293"/>
    <w:rsid w:val="00645868"/>
    <w:rsid w:val="00650C73"/>
    <w:rsid w:val="0066004C"/>
    <w:rsid w:val="00670CF7"/>
    <w:rsid w:val="00676870"/>
    <w:rsid w:val="00682009"/>
    <w:rsid w:val="006871A5"/>
    <w:rsid w:val="0069101B"/>
    <w:rsid w:val="006A0DD9"/>
    <w:rsid w:val="006B35CA"/>
    <w:rsid w:val="006C10F5"/>
    <w:rsid w:val="006C59E0"/>
    <w:rsid w:val="006C634F"/>
    <w:rsid w:val="006D6C35"/>
    <w:rsid w:val="006D7DCD"/>
    <w:rsid w:val="006E0AD0"/>
    <w:rsid w:val="006E1A3A"/>
    <w:rsid w:val="006E6472"/>
    <w:rsid w:val="006F7044"/>
    <w:rsid w:val="007019CA"/>
    <w:rsid w:val="00702A9F"/>
    <w:rsid w:val="00704A64"/>
    <w:rsid w:val="007236FA"/>
    <w:rsid w:val="00725CFC"/>
    <w:rsid w:val="00726F34"/>
    <w:rsid w:val="00727A2F"/>
    <w:rsid w:val="0073620D"/>
    <w:rsid w:val="00746A4F"/>
    <w:rsid w:val="00762F69"/>
    <w:rsid w:val="00776C3E"/>
    <w:rsid w:val="007943A8"/>
    <w:rsid w:val="007A54EF"/>
    <w:rsid w:val="007B31F5"/>
    <w:rsid w:val="007B6865"/>
    <w:rsid w:val="007C14A5"/>
    <w:rsid w:val="007D4DA3"/>
    <w:rsid w:val="007D538A"/>
    <w:rsid w:val="007E3F85"/>
    <w:rsid w:val="007E4A2B"/>
    <w:rsid w:val="007F5372"/>
    <w:rsid w:val="00805F6D"/>
    <w:rsid w:val="00810D8C"/>
    <w:rsid w:val="0081223A"/>
    <w:rsid w:val="0081521A"/>
    <w:rsid w:val="00817780"/>
    <w:rsid w:val="008213B0"/>
    <w:rsid w:val="008269BA"/>
    <w:rsid w:val="00841983"/>
    <w:rsid w:val="00841EF7"/>
    <w:rsid w:val="008431B4"/>
    <w:rsid w:val="0085485A"/>
    <w:rsid w:val="00855054"/>
    <w:rsid w:val="00860835"/>
    <w:rsid w:val="008631EB"/>
    <w:rsid w:val="00875D08"/>
    <w:rsid w:val="008761B9"/>
    <w:rsid w:val="008769DF"/>
    <w:rsid w:val="00883760"/>
    <w:rsid w:val="00893DED"/>
    <w:rsid w:val="00894BE9"/>
    <w:rsid w:val="008A2B2F"/>
    <w:rsid w:val="008A4E31"/>
    <w:rsid w:val="008C46FE"/>
    <w:rsid w:val="008C6E2B"/>
    <w:rsid w:val="008D0E1C"/>
    <w:rsid w:val="008D490D"/>
    <w:rsid w:val="008F1539"/>
    <w:rsid w:val="00900B05"/>
    <w:rsid w:val="009049D6"/>
    <w:rsid w:val="009079FA"/>
    <w:rsid w:val="00911680"/>
    <w:rsid w:val="009141EC"/>
    <w:rsid w:val="00917964"/>
    <w:rsid w:val="0092725C"/>
    <w:rsid w:val="00932B93"/>
    <w:rsid w:val="00934473"/>
    <w:rsid w:val="00935C01"/>
    <w:rsid w:val="009372C2"/>
    <w:rsid w:val="0093766C"/>
    <w:rsid w:val="00947D9D"/>
    <w:rsid w:val="00957245"/>
    <w:rsid w:val="00970A24"/>
    <w:rsid w:val="0097505A"/>
    <w:rsid w:val="009751B4"/>
    <w:rsid w:val="00996367"/>
    <w:rsid w:val="009B4D2D"/>
    <w:rsid w:val="009B7D86"/>
    <w:rsid w:val="009C2A7C"/>
    <w:rsid w:val="009C45D1"/>
    <w:rsid w:val="009D01D8"/>
    <w:rsid w:val="009D6F55"/>
    <w:rsid w:val="009E22DE"/>
    <w:rsid w:val="00A00B42"/>
    <w:rsid w:val="00A15D2E"/>
    <w:rsid w:val="00A215DB"/>
    <w:rsid w:val="00A2391D"/>
    <w:rsid w:val="00A27403"/>
    <w:rsid w:val="00A308B4"/>
    <w:rsid w:val="00A36E33"/>
    <w:rsid w:val="00A3772E"/>
    <w:rsid w:val="00A40891"/>
    <w:rsid w:val="00A472AD"/>
    <w:rsid w:val="00A636A6"/>
    <w:rsid w:val="00A64B0D"/>
    <w:rsid w:val="00A665E7"/>
    <w:rsid w:val="00A741BF"/>
    <w:rsid w:val="00A77E98"/>
    <w:rsid w:val="00A82504"/>
    <w:rsid w:val="00A84247"/>
    <w:rsid w:val="00A87371"/>
    <w:rsid w:val="00A901AB"/>
    <w:rsid w:val="00A902E0"/>
    <w:rsid w:val="00AA00F5"/>
    <w:rsid w:val="00AA28DD"/>
    <w:rsid w:val="00AA5C6E"/>
    <w:rsid w:val="00AA7942"/>
    <w:rsid w:val="00AB20FB"/>
    <w:rsid w:val="00AB7793"/>
    <w:rsid w:val="00AC4E3C"/>
    <w:rsid w:val="00AC5952"/>
    <w:rsid w:val="00AD3EC0"/>
    <w:rsid w:val="00AE44FC"/>
    <w:rsid w:val="00AF41BB"/>
    <w:rsid w:val="00AF4A78"/>
    <w:rsid w:val="00AF6373"/>
    <w:rsid w:val="00B0012C"/>
    <w:rsid w:val="00B018B5"/>
    <w:rsid w:val="00B03AED"/>
    <w:rsid w:val="00B06C8C"/>
    <w:rsid w:val="00B10C67"/>
    <w:rsid w:val="00B22088"/>
    <w:rsid w:val="00B23C18"/>
    <w:rsid w:val="00B30D14"/>
    <w:rsid w:val="00B35DBD"/>
    <w:rsid w:val="00B41142"/>
    <w:rsid w:val="00B422AB"/>
    <w:rsid w:val="00B5084B"/>
    <w:rsid w:val="00B5410C"/>
    <w:rsid w:val="00B65EBF"/>
    <w:rsid w:val="00B7197D"/>
    <w:rsid w:val="00B71F16"/>
    <w:rsid w:val="00B731A7"/>
    <w:rsid w:val="00B74B95"/>
    <w:rsid w:val="00BA1F23"/>
    <w:rsid w:val="00BA61B1"/>
    <w:rsid w:val="00BD620D"/>
    <w:rsid w:val="00BE257A"/>
    <w:rsid w:val="00BE6BD9"/>
    <w:rsid w:val="00BE7C61"/>
    <w:rsid w:val="00BF28CE"/>
    <w:rsid w:val="00C0184E"/>
    <w:rsid w:val="00C17FD4"/>
    <w:rsid w:val="00C2005B"/>
    <w:rsid w:val="00C23D35"/>
    <w:rsid w:val="00C26531"/>
    <w:rsid w:val="00C5412E"/>
    <w:rsid w:val="00C5448E"/>
    <w:rsid w:val="00C606D4"/>
    <w:rsid w:val="00C620BE"/>
    <w:rsid w:val="00C65DC9"/>
    <w:rsid w:val="00C70863"/>
    <w:rsid w:val="00C80D99"/>
    <w:rsid w:val="00C82F97"/>
    <w:rsid w:val="00C85349"/>
    <w:rsid w:val="00C86F3C"/>
    <w:rsid w:val="00C87891"/>
    <w:rsid w:val="00C92A3F"/>
    <w:rsid w:val="00C955D5"/>
    <w:rsid w:val="00CA3A8D"/>
    <w:rsid w:val="00CB45A3"/>
    <w:rsid w:val="00CB5FE1"/>
    <w:rsid w:val="00CB6C73"/>
    <w:rsid w:val="00CD06AD"/>
    <w:rsid w:val="00CD4D97"/>
    <w:rsid w:val="00CE068E"/>
    <w:rsid w:val="00CE778C"/>
    <w:rsid w:val="00CF5C74"/>
    <w:rsid w:val="00CF7FF8"/>
    <w:rsid w:val="00D06ADB"/>
    <w:rsid w:val="00D07DCB"/>
    <w:rsid w:val="00D24188"/>
    <w:rsid w:val="00D2583B"/>
    <w:rsid w:val="00D27672"/>
    <w:rsid w:val="00D32D69"/>
    <w:rsid w:val="00D40055"/>
    <w:rsid w:val="00D43DAB"/>
    <w:rsid w:val="00D452F3"/>
    <w:rsid w:val="00D458DE"/>
    <w:rsid w:val="00D52828"/>
    <w:rsid w:val="00D53649"/>
    <w:rsid w:val="00D5530C"/>
    <w:rsid w:val="00D756C6"/>
    <w:rsid w:val="00D90986"/>
    <w:rsid w:val="00D9653B"/>
    <w:rsid w:val="00DA07F1"/>
    <w:rsid w:val="00DA29A7"/>
    <w:rsid w:val="00DA6C8B"/>
    <w:rsid w:val="00DC295E"/>
    <w:rsid w:val="00DC3AA6"/>
    <w:rsid w:val="00DC3BB3"/>
    <w:rsid w:val="00DC6E5A"/>
    <w:rsid w:val="00DD26C3"/>
    <w:rsid w:val="00DD404E"/>
    <w:rsid w:val="00DD5A19"/>
    <w:rsid w:val="00E01395"/>
    <w:rsid w:val="00E22DFF"/>
    <w:rsid w:val="00E376A8"/>
    <w:rsid w:val="00E43B0C"/>
    <w:rsid w:val="00E44FD6"/>
    <w:rsid w:val="00E60B59"/>
    <w:rsid w:val="00E73BC8"/>
    <w:rsid w:val="00E743CB"/>
    <w:rsid w:val="00E74773"/>
    <w:rsid w:val="00E75757"/>
    <w:rsid w:val="00E803BA"/>
    <w:rsid w:val="00E810A2"/>
    <w:rsid w:val="00EB61B6"/>
    <w:rsid w:val="00EC0AF5"/>
    <w:rsid w:val="00EC49FD"/>
    <w:rsid w:val="00ED0482"/>
    <w:rsid w:val="00EE13D1"/>
    <w:rsid w:val="00EE7FC9"/>
    <w:rsid w:val="00F136E1"/>
    <w:rsid w:val="00F139AF"/>
    <w:rsid w:val="00F20FBF"/>
    <w:rsid w:val="00F21A60"/>
    <w:rsid w:val="00F26BC3"/>
    <w:rsid w:val="00F27321"/>
    <w:rsid w:val="00F52598"/>
    <w:rsid w:val="00F5391F"/>
    <w:rsid w:val="00F72829"/>
    <w:rsid w:val="00F74739"/>
    <w:rsid w:val="00F7511F"/>
    <w:rsid w:val="00F7571C"/>
    <w:rsid w:val="00F758DE"/>
    <w:rsid w:val="00F7692C"/>
    <w:rsid w:val="00F82484"/>
    <w:rsid w:val="00F846A0"/>
    <w:rsid w:val="00F944A1"/>
    <w:rsid w:val="00F950A8"/>
    <w:rsid w:val="00FA2131"/>
    <w:rsid w:val="00FA3742"/>
    <w:rsid w:val="00FA6DF2"/>
    <w:rsid w:val="00FD100B"/>
    <w:rsid w:val="00FD367A"/>
    <w:rsid w:val="00FE30E6"/>
    <w:rsid w:val="00FF10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1E14E8E3"/>
  <w15:docId w15:val="{53A0D63F-FDF6-4B26-A883-513A94E8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8A511-ADF3-42E9-9513-62E26AB8F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7</Pages>
  <Words>796</Words>
  <Characters>4383</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 Luc</cp:lastModifiedBy>
  <cp:revision>332</cp:revision>
  <cp:lastPrinted>2018-03-12T09:18:00Z</cp:lastPrinted>
  <dcterms:created xsi:type="dcterms:W3CDTF">2018-02-02T13:49:00Z</dcterms:created>
  <dcterms:modified xsi:type="dcterms:W3CDTF">2018-03-30T13:24:00Z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jean-luc.attal@am.natixis.com</vt:lpwstr>
  </property>
  <property fmtid="{D5CDD505-2E9C-101B-9397-08002B2CF9AE}" pid="6" name="MSIP_Label_797e4f81-4b1c-4a3a-b237-8636707719dc_SetDate">
    <vt:lpwstr>2018-02-09T14:58:55.9057115+01:00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