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1259C9">
        <w:rPr>
          <w:rFonts w:ascii="Calibri Light" w:hAnsi="Calibri Light" w:cs="Arial"/>
          <w:b/>
          <w:sz w:val="44"/>
          <w:szCs w:val="44"/>
        </w:rPr>
        <w:t>14 mai</w:t>
      </w:r>
      <w:r w:rsidR="00C955D5">
        <w:rPr>
          <w:rFonts w:ascii="Calibri Light" w:hAnsi="Calibri Light" w:cs="Arial"/>
          <w:b/>
          <w:sz w:val="44"/>
          <w:szCs w:val="44"/>
        </w:rPr>
        <w:t xml:space="preserve"> </w:t>
      </w:r>
      <w:r>
        <w:rPr>
          <w:rFonts w:ascii="Calibri Light" w:hAnsi="Calibri Light" w:cs="Arial"/>
          <w:b/>
          <w:sz w:val="44"/>
          <w:szCs w:val="44"/>
        </w:rPr>
        <w:t>2018</w:t>
      </w: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9049D6" w:rsidRDefault="009049D6" w:rsidP="00F72829">
      <w:pPr>
        <w:jc w:val="both"/>
        <w:rPr>
          <w:rFonts w:ascii="Arial" w:hAnsi="Arial" w:cs="Arial"/>
          <w:b/>
          <w:sz w:val="22"/>
          <w:szCs w:val="22"/>
        </w:rPr>
      </w:pPr>
    </w:p>
    <w:p w:rsidR="00343C28" w:rsidRPr="00800AB1" w:rsidRDefault="00343C28" w:rsidP="00F72829">
      <w:pPr>
        <w:jc w:val="both"/>
        <w:rPr>
          <w:rFonts w:ascii="Arial" w:hAnsi="Arial" w:cs="Arial"/>
          <w:b/>
          <w:sz w:val="22"/>
          <w:szCs w:val="22"/>
        </w:rPr>
      </w:pPr>
    </w:p>
    <w:p w:rsidR="00F72829" w:rsidRPr="0043164A"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43164A">
        <w:rPr>
          <w:rFonts w:ascii="Arial" w:hAnsi="Arial" w:cs="Arial"/>
          <w:b/>
          <w:sz w:val="36"/>
          <w:szCs w:val="36"/>
          <w:u w:val="single"/>
        </w:rPr>
        <w:t xml:space="preserve">10 ans Euro </w:t>
      </w:r>
    </w:p>
    <w:p w:rsidR="000D4E0C" w:rsidRPr="0043164A" w:rsidRDefault="000D4E0C" w:rsidP="000D4E0C">
      <w:pPr>
        <w:autoSpaceDE w:val="0"/>
        <w:jc w:val="both"/>
        <w:rPr>
          <w:rFonts w:ascii="Arial" w:hAnsi="Arial" w:cs="Arial"/>
          <w:b/>
          <w:sz w:val="28"/>
          <w:szCs w:val="28"/>
          <w:u w:val="single"/>
        </w:rPr>
      </w:pPr>
      <w:r w:rsidRPr="0043164A">
        <w:rPr>
          <w:rFonts w:ascii="Arial" w:hAnsi="Arial" w:cs="Arial"/>
          <w:b/>
          <w:sz w:val="28"/>
          <w:szCs w:val="28"/>
          <w:u w:val="single"/>
        </w:rPr>
        <w:t>Monthly</w:t>
      </w:r>
    </w:p>
    <w:p w:rsidR="00F72829" w:rsidRPr="00343C28" w:rsidRDefault="00343C28" w:rsidP="000D4E0C">
      <w:pPr>
        <w:autoSpaceDE w:val="0"/>
        <w:ind w:left="-850"/>
        <w:jc w:val="both"/>
        <w:rPr>
          <w:rFonts w:ascii="Arial" w:hAnsi="Arial" w:cs="Arial"/>
          <w:b/>
          <w:sz w:val="28"/>
          <w:szCs w:val="28"/>
          <w:u w:val="single"/>
          <w:lang w:val="en-US"/>
        </w:rPr>
      </w:pPr>
      <w:r>
        <w:rPr>
          <w:rFonts w:ascii="Arial" w:hAnsi="Arial" w:cs="Arial"/>
          <w:b/>
          <w:noProof/>
          <w:sz w:val="28"/>
          <w:szCs w:val="28"/>
          <w:u w:val="single"/>
        </w:rPr>
        <w:drawing>
          <wp:inline distT="0" distB="0" distL="0" distR="0">
            <wp:extent cx="6797040" cy="4135001"/>
            <wp:effectExtent l="0" t="0" r="3810" b="0"/>
            <wp:docPr id="4" name="Image 4" descr="C:\Temp\Bloomberg\temp\bfm9E7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emp\Bloomberg\temp\bfm9E71.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9518" cy="4130425"/>
                    </a:xfrm>
                    <a:prstGeom prst="rect">
                      <a:avLst/>
                    </a:prstGeom>
                    <a:noFill/>
                    <a:ln>
                      <a:noFill/>
                    </a:ln>
                  </pic:spPr>
                </pic:pic>
              </a:graphicData>
            </a:graphic>
          </wp:inline>
        </w:drawing>
      </w:r>
    </w:p>
    <w:p w:rsidR="00F72829" w:rsidRPr="00343C28" w:rsidRDefault="00F72829" w:rsidP="00F72829">
      <w:pPr>
        <w:autoSpaceDE w:val="0"/>
        <w:jc w:val="both"/>
        <w:rPr>
          <w:rFonts w:ascii="Arial" w:hAnsi="Arial" w:cs="Arial"/>
          <w:b/>
          <w:sz w:val="28"/>
          <w:szCs w:val="28"/>
          <w:u w:val="single"/>
          <w:lang w:val="en-US"/>
        </w:rPr>
      </w:pPr>
      <w:r w:rsidRPr="00343C28">
        <w:rPr>
          <w:rFonts w:ascii="Arial" w:hAnsi="Arial" w:cs="Arial"/>
          <w:b/>
          <w:sz w:val="28"/>
          <w:szCs w:val="28"/>
          <w:u w:val="single"/>
          <w:lang w:val="en-US"/>
        </w:rPr>
        <w:t>Weekly</w:t>
      </w:r>
    </w:p>
    <w:p w:rsidR="000D4E0C" w:rsidRPr="00343C28" w:rsidRDefault="00343C28" w:rsidP="000D4E0C">
      <w:pPr>
        <w:autoSpaceDE w:val="0"/>
        <w:ind w:left="-850"/>
        <w:jc w:val="both"/>
        <w:rPr>
          <w:rFonts w:ascii="Arial" w:hAnsi="Arial" w:cs="Arial"/>
          <w:b/>
          <w:sz w:val="28"/>
          <w:szCs w:val="28"/>
          <w:u w:val="single"/>
          <w:lang w:val="en-US"/>
        </w:rPr>
      </w:pPr>
      <w:r>
        <w:rPr>
          <w:rFonts w:ascii="Arial" w:hAnsi="Arial" w:cs="Arial"/>
          <w:b/>
          <w:noProof/>
          <w:sz w:val="28"/>
          <w:szCs w:val="28"/>
          <w:u w:val="single"/>
        </w:rPr>
        <w:drawing>
          <wp:inline distT="0" distB="0" distL="0" distR="0">
            <wp:extent cx="6804660" cy="3924300"/>
            <wp:effectExtent l="0" t="0" r="0" b="0"/>
            <wp:docPr id="5" name="Image 5" descr="C:\Temp\Bloomberg\temp\bfm268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Bloomberg\temp\bfm2687.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97129" cy="3919957"/>
                    </a:xfrm>
                    <a:prstGeom prst="rect">
                      <a:avLst/>
                    </a:prstGeom>
                    <a:noFill/>
                    <a:ln>
                      <a:noFill/>
                    </a:ln>
                  </pic:spPr>
                </pic:pic>
              </a:graphicData>
            </a:graphic>
          </wp:inline>
        </w:drawing>
      </w:r>
    </w:p>
    <w:p w:rsidR="000D4E0C" w:rsidRPr="00343C28" w:rsidRDefault="005E3841" w:rsidP="000D4E0C">
      <w:pPr>
        <w:autoSpaceDE w:val="0"/>
        <w:ind w:left="-850"/>
        <w:jc w:val="both"/>
        <w:rPr>
          <w:rFonts w:ascii="Arial" w:hAnsi="Arial" w:cs="Arial"/>
          <w:b/>
          <w:sz w:val="28"/>
          <w:szCs w:val="28"/>
          <w:u w:val="single"/>
          <w:lang w:val="en-US"/>
        </w:rPr>
      </w:pPr>
      <w:r w:rsidRPr="00343C28">
        <w:rPr>
          <w:rFonts w:ascii="Arial" w:hAnsi="Arial" w:cs="Arial"/>
          <w:b/>
          <w:sz w:val="28"/>
          <w:szCs w:val="28"/>
          <w:lang w:val="en-US"/>
        </w:rPr>
        <w:lastRenderedPageBreak/>
        <w:t xml:space="preserve">           </w:t>
      </w:r>
      <w:r w:rsidR="000D4E0C" w:rsidRPr="00343C28">
        <w:rPr>
          <w:rFonts w:ascii="Arial" w:hAnsi="Arial" w:cs="Arial"/>
          <w:b/>
          <w:sz w:val="28"/>
          <w:szCs w:val="28"/>
          <w:u w:val="single"/>
          <w:lang w:val="en-US"/>
        </w:rPr>
        <w:t>Daily</w:t>
      </w:r>
    </w:p>
    <w:p w:rsidR="00754F13" w:rsidRDefault="00343C28" w:rsidP="00343C28">
      <w:pPr>
        <w:autoSpaceDE w:val="0"/>
        <w:ind w:left="-850"/>
        <w:jc w:val="both"/>
        <w:rPr>
          <w:rFonts w:ascii="Arial" w:hAnsi="Arial" w:cs="Arial"/>
          <w:b/>
          <w:sz w:val="28"/>
          <w:szCs w:val="28"/>
          <w:u w:val="single"/>
          <w:lang w:val="en-US"/>
        </w:rPr>
      </w:pPr>
      <w:r>
        <w:rPr>
          <w:rFonts w:ascii="Arial" w:hAnsi="Arial" w:cs="Arial"/>
          <w:b/>
          <w:noProof/>
          <w:sz w:val="28"/>
          <w:szCs w:val="28"/>
          <w:u w:val="single"/>
        </w:rPr>
        <w:drawing>
          <wp:inline distT="0" distB="0" distL="0" distR="0" wp14:anchorId="72AD8A0F" wp14:editId="069645EF">
            <wp:extent cx="6675120" cy="4168140"/>
            <wp:effectExtent l="0" t="0" r="0" b="3810"/>
            <wp:docPr id="6" name="Image 6" descr="C:\Temp\Bloomberg\temp\bfmB9C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Temp\Bloomberg\temp\bfmB9C4.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67733" cy="4163527"/>
                    </a:xfrm>
                    <a:prstGeom prst="rect">
                      <a:avLst/>
                    </a:prstGeom>
                    <a:noFill/>
                    <a:ln>
                      <a:noFill/>
                    </a:ln>
                  </pic:spPr>
                </pic:pic>
              </a:graphicData>
            </a:graphic>
          </wp:inline>
        </w:drawing>
      </w:r>
    </w:p>
    <w:p w:rsidR="0043164A" w:rsidRPr="00343C28" w:rsidRDefault="0043164A" w:rsidP="00343C28">
      <w:pPr>
        <w:autoSpaceDE w:val="0"/>
        <w:ind w:left="-850"/>
        <w:jc w:val="both"/>
        <w:rPr>
          <w:rFonts w:ascii="Arial" w:hAnsi="Arial" w:cs="Arial"/>
          <w:b/>
          <w:sz w:val="28"/>
          <w:szCs w:val="28"/>
          <w:u w:val="single"/>
          <w:lang w:val="en-US"/>
        </w:rPr>
      </w:pPr>
    </w:p>
    <w:p w:rsidR="003A1222" w:rsidRDefault="00F72829" w:rsidP="008631EB">
      <w:pPr>
        <w:jc w:val="both"/>
        <w:rPr>
          <w:rFonts w:ascii="Tahoma" w:hAnsi="Tahoma" w:cs="Tahoma"/>
        </w:rPr>
      </w:pPr>
      <w:r w:rsidRPr="008631EB">
        <w:rPr>
          <w:rFonts w:ascii="Arial" w:hAnsi="Arial" w:cs="Arial"/>
          <w:b/>
        </w:rPr>
        <w:t>M</w:t>
      </w:r>
      <w:r w:rsidR="00DC3AA6" w:rsidRPr="008631EB">
        <w:rPr>
          <w:rFonts w:ascii="Arial" w:hAnsi="Arial" w:cs="Arial"/>
          <w:b/>
        </w:rPr>
        <w:t xml:space="preserve"> : </w:t>
      </w:r>
      <w:r w:rsidR="003261EE">
        <w:rPr>
          <w:rFonts w:ascii="Tahoma" w:hAnsi="Tahoma" w:cs="Tahoma"/>
        </w:rPr>
        <w:t xml:space="preserve">Le </w:t>
      </w:r>
      <w:r w:rsidR="000D268A">
        <w:rPr>
          <w:rFonts w:ascii="Tahoma" w:hAnsi="Tahoma" w:cs="Tahoma"/>
        </w:rPr>
        <w:t>10 ans Euro évolue sous la borne basse de son nuage</w:t>
      </w:r>
      <w:r w:rsidR="00754F13">
        <w:rPr>
          <w:rFonts w:ascii="Tahoma" w:hAnsi="Tahoma" w:cs="Tahoma"/>
        </w:rPr>
        <w:t xml:space="preserve"> et avantage le biais baissier de long terme</w:t>
      </w:r>
      <w:r w:rsidR="000D268A">
        <w:rPr>
          <w:rFonts w:ascii="Tahoma" w:hAnsi="Tahoma" w:cs="Tahoma"/>
        </w:rPr>
        <w:t>. Cette SSA servira de résistance pour le mois de mai</w:t>
      </w:r>
      <w:r w:rsidR="00754F13">
        <w:rPr>
          <w:rFonts w:ascii="Tahoma" w:hAnsi="Tahoma" w:cs="Tahoma"/>
        </w:rPr>
        <w:t xml:space="preserve"> sur 0.65.</w:t>
      </w:r>
    </w:p>
    <w:p w:rsidR="00754F13" w:rsidRDefault="00754F13" w:rsidP="008631EB">
      <w:pPr>
        <w:jc w:val="both"/>
        <w:rPr>
          <w:rFonts w:ascii="Tahoma" w:hAnsi="Tahoma" w:cs="Tahoma"/>
        </w:rPr>
      </w:pPr>
      <w:r>
        <w:rPr>
          <w:rFonts w:ascii="Tahoma" w:hAnsi="Tahoma" w:cs="Tahoma"/>
        </w:rPr>
        <w:t xml:space="preserve">La TS et la KS évoluent horizontalement sur respectivement 0.54 et 0.30. Leur </w:t>
      </w:r>
      <w:r w:rsidR="00E84B13">
        <w:rPr>
          <w:rFonts w:ascii="Tahoma" w:hAnsi="Tahoma" w:cs="Tahoma"/>
        </w:rPr>
        <w:t>développement</w:t>
      </w:r>
      <w:r>
        <w:rPr>
          <w:rFonts w:ascii="Tahoma" w:hAnsi="Tahoma" w:cs="Tahoma"/>
        </w:rPr>
        <w:t xml:space="preserve"> indique que le marché n’est pas en tendance. </w:t>
      </w:r>
    </w:p>
    <w:p w:rsidR="00FF09EF" w:rsidRDefault="00FF09EF" w:rsidP="008631EB">
      <w:pPr>
        <w:jc w:val="both"/>
        <w:rPr>
          <w:rFonts w:ascii="Tahoma" w:hAnsi="Tahoma" w:cs="Tahoma"/>
        </w:rPr>
      </w:pPr>
      <w:r>
        <w:rPr>
          <w:rFonts w:ascii="Tahoma" w:hAnsi="Tahoma" w:cs="Tahoma"/>
        </w:rPr>
        <w:t xml:space="preserve">0.54 sera pour le mois un point pivot. Il représente aussi un support résistance pour la LS. Un dépassement haussier de 0.54 offrira à la LS un espace libre jusqu’à sa KS située à 0.88. De son </w:t>
      </w:r>
      <w:r w:rsidR="00E84B13">
        <w:rPr>
          <w:rFonts w:ascii="Tahoma" w:hAnsi="Tahoma" w:cs="Tahoma"/>
        </w:rPr>
        <w:t>côté</w:t>
      </w:r>
      <w:r>
        <w:rPr>
          <w:rFonts w:ascii="Tahoma" w:hAnsi="Tahoma" w:cs="Tahoma"/>
        </w:rPr>
        <w:t>, le taux devra s’affranchir de la résistance de 0.65 (SSA</w:t>
      </w:r>
      <w:r w:rsidR="0043164A">
        <w:rPr>
          <w:rFonts w:ascii="Tahoma" w:hAnsi="Tahoma" w:cs="Tahoma"/>
        </w:rPr>
        <w:t xml:space="preserve"> précédemment citée</w:t>
      </w:r>
      <w:r>
        <w:rPr>
          <w:rFonts w:ascii="Tahoma" w:hAnsi="Tahoma" w:cs="Tahoma"/>
        </w:rPr>
        <w:t xml:space="preserve">) pour envisager un retour sur le précédent </w:t>
      </w:r>
      <w:r w:rsidR="002C5FAC">
        <w:rPr>
          <w:rFonts w:ascii="Tahoma" w:hAnsi="Tahoma" w:cs="Tahoma"/>
        </w:rPr>
        <w:t>sommet</w:t>
      </w:r>
      <w:r>
        <w:rPr>
          <w:rFonts w:ascii="Tahoma" w:hAnsi="Tahoma" w:cs="Tahoma"/>
        </w:rPr>
        <w:t xml:space="preserve"> de 0.80.</w:t>
      </w:r>
    </w:p>
    <w:p w:rsidR="002C5FAC" w:rsidRDefault="002C5FAC" w:rsidP="008631EB">
      <w:pPr>
        <w:jc w:val="both"/>
        <w:rPr>
          <w:rFonts w:ascii="Tahoma" w:hAnsi="Tahoma" w:cs="Tahoma"/>
        </w:rPr>
      </w:pPr>
      <w:r>
        <w:rPr>
          <w:rFonts w:ascii="Tahoma" w:hAnsi="Tahoma" w:cs="Tahoma"/>
        </w:rPr>
        <w:t>Un maintien du taux sous 0.54 avantagera le retour du marché sur la zone de 0.30.</w:t>
      </w:r>
    </w:p>
    <w:p w:rsidR="00FC2714" w:rsidRDefault="00FC2714" w:rsidP="008631EB">
      <w:pPr>
        <w:jc w:val="both"/>
        <w:rPr>
          <w:rFonts w:ascii="Tahoma" w:hAnsi="Tahoma" w:cs="Tahoma"/>
        </w:rPr>
      </w:pPr>
    </w:p>
    <w:p w:rsidR="003A1222" w:rsidRDefault="003A1222" w:rsidP="00BA1E3D">
      <w:pPr>
        <w:jc w:val="both"/>
        <w:rPr>
          <w:rFonts w:ascii="Tahoma" w:hAnsi="Tahoma" w:cs="Tahoma"/>
        </w:rPr>
      </w:pPr>
      <w:r w:rsidRPr="008631EB">
        <w:rPr>
          <w:rFonts w:ascii="Arial" w:hAnsi="Arial" w:cs="Arial"/>
          <w:b/>
          <w:bCs/>
        </w:rPr>
        <w:t xml:space="preserve">W : </w:t>
      </w:r>
      <w:r w:rsidR="005600F6">
        <w:rPr>
          <w:rFonts w:ascii="Tahoma" w:hAnsi="Tahoma" w:cs="Tahoma"/>
        </w:rPr>
        <w:t>La KS est plate sur 0.54 et après avoir baissé, la TS se stabilisera sur 0.56.  L’importance du point de 0.54</w:t>
      </w:r>
      <w:r w:rsidR="000E620B">
        <w:rPr>
          <w:rFonts w:ascii="Tahoma" w:hAnsi="Tahoma" w:cs="Tahoma"/>
        </w:rPr>
        <w:t>,</w:t>
      </w:r>
      <w:r w:rsidR="005600F6">
        <w:rPr>
          <w:rFonts w:ascii="Tahoma" w:hAnsi="Tahoma" w:cs="Tahoma"/>
        </w:rPr>
        <w:t xml:space="preserve"> évoqué sur le long terme</w:t>
      </w:r>
      <w:r w:rsidR="000E620B">
        <w:rPr>
          <w:rFonts w:ascii="Tahoma" w:hAnsi="Tahoma" w:cs="Tahoma"/>
        </w:rPr>
        <w:t>,</w:t>
      </w:r>
      <w:r w:rsidR="005600F6">
        <w:rPr>
          <w:rFonts w:ascii="Tahoma" w:hAnsi="Tahoma" w:cs="Tahoma"/>
        </w:rPr>
        <w:t xml:space="preserve"> est renforcé sur cette unité de temps par la KS et par la TS proche</w:t>
      </w:r>
      <w:r w:rsidR="000E620B">
        <w:rPr>
          <w:rFonts w:ascii="Tahoma" w:hAnsi="Tahoma" w:cs="Tahoma"/>
        </w:rPr>
        <w:t xml:space="preserve"> l’une de l’autre</w:t>
      </w:r>
      <w:r w:rsidR="005600F6">
        <w:rPr>
          <w:rFonts w:ascii="Tahoma" w:hAnsi="Tahoma" w:cs="Tahoma"/>
        </w:rPr>
        <w:t>.</w:t>
      </w:r>
    </w:p>
    <w:p w:rsidR="005600F6" w:rsidRPr="008631EB" w:rsidRDefault="005600F6" w:rsidP="00BA1E3D">
      <w:pPr>
        <w:jc w:val="both"/>
        <w:rPr>
          <w:rFonts w:ascii="Tahoma" w:hAnsi="Tahoma" w:cs="Tahoma"/>
        </w:rPr>
      </w:pPr>
      <w:r>
        <w:rPr>
          <w:rFonts w:ascii="Tahoma" w:hAnsi="Tahoma" w:cs="Tahoma"/>
        </w:rPr>
        <w:t xml:space="preserve">Même si l’environnement est haussier, la forme des courbes Ichimoku traduit l’absence de dynamique. </w:t>
      </w:r>
      <w:r w:rsidR="00230B15">
        <w:rPr>
          <w:rFonts w:ascii="Tahoma" w:hAnsi="Tahoma" w:cs="Tahoma"/>
        </w:rPr>
        <w:t xml:space="preserve">Entre 0.28 et 0.80, le plat de KS attirera </w:t>
      </w:r>
      <w:r w:rsidR="000E620B">
        <w:rPr>
          <w:rFonts w:ascii="Tahoma" w:hAnsi="Tahoma" w:cs="Tahoma"/>
        </w:rPr>
        <w:t>le taux</w:t>
      </w:r>
      <w:r w:rsidR="00230B15">
        <w:rPr>
          <w:rFonts w:ascii="Tahoma" w:hAnsi="Tahoma" w:cs="Tahoma"/>
        </w:rPr>
        <w:t xml:space="preserve"> à lui. Il</w:t>
      </w:r>
      <w:r>
        <w:rPr>
          <w:rFonts w:ascii="Tahoma" w:hAnsi="Tahoma" w:cs="Tahoma"/>
        </w:rPr>
        <w:t xml:space="preserve"> limite</w:t>
      </w:r>
      <w:r w:rsidR="00230B15">
        <w:rPr>
          <w:rFonts w:ascii="Tahoma" w:hAnsi="Tahoma" w:cs="Tahoma"/>
        </w:rPr>
        <w:t>ra</w:t>
      </w:r>
      <w:r>
        <w:rPr>
          <w:rFonts w:ascii="Tahoma" w:hAnsi="Tahoma" w:cs="Tahoma"/>
        </w:rPr>
        <w:t xml:space="preserve"> le déplacement du marché aux supports et aux résistances</w:t>
      </w:r>
      <w:r w:rsidR="000E620B">
        <w:rPr>
          <w:rFonts w:ascii="Tahoma" w:hAnsi="Tahoma" w:cs="Tahoma"/>
        </w:rPr>
        <w:t xml:space="preserve"> qu’il pourra rencontrer lors de ses déplacements.</w:t>
      </w:r>
    </w:p>
    <w:p w:rsidR="00A82504" w:rsidRDefault="00A82504" w:rsidP="008631EB">
      <w:pPr>
        <w:jc w:val="both"/>
        <w:rPr>
          <w:rFonts w:ascii="Tahoma" w:hAnsi="Tahoma" w:cs="Tahoma"/>
        </w:rPr>
      </w:pPr>
    </w:p>
    <w:p w:rsidR="00256885" w:rsidRDefault="00A82504" w:rsidP="001259C9">
      <w:pPr>
        <w:jc w:val="both"/>
        <w:rPr>
          <w:rFonts w:ascii="Tahoma" w:hAnsi="Tahoma" w:cs="Tahoma"/>
        </w:rPr>
      </w:pPr>
      <w:r w:rsidRPr="008631EB">
        <w:rPr>
          <w:rFonts w:ascii="Arial" w:hAnsi="Arial" w:cs="Arial"/>
          <w:b/>
          <w:bCs/>
        </w:rPr>
        <w:t xml:space="preserve">D : </w:t>
      </w:r>
      <w:r w:rsidR="00E37CD3" w:rsidRPr="00E37CD3">
        <w:rPr>
          <w:rFonts w:ascii="Tahoma" w:hAnsi="Tahoma" w:cs="Tahoma"/>
        </w:rPr>
        <w:t>Sur le court terme</w:t>
      </w:r>
      <w:r w:rsidR="00E37CD3">
        <w:rPr>
          <w:rFonts w:ascii="Tahoma" w:hAnsi="Tahoma" w:cs="Tahoma"/>
        </w:rPr>
        <w:t xml:space="preserve">, 0.54 </w:t>
      </w:r>
      <w:r w:rsidR="00E84B13">
        <w:rPr>
          <w:rFonts w:ascii="Tahoma" w:hAnsi="Tahoma" w:cs="Tahoma"/>
        </w:rPr>
        <w:t>représente</w:t>
      </w:r>
      <w:r w:rsidR="00E37CD3">
        <w:rPr>
          <w:rFonts w:ascii="Tahoma" w:hAnsi="Tahoma" w:cs="Tahoma"/>
        </w:rPr>
        <w:t xml:space="preserve"> aussi un point important. D’une part il servira pour la semaine de </w:t>
      </w:r>
      <w:r w:rsidR="00256885">
        <w:rPr>
          <w:rFonts w:ascii="Tahoma" w:hAnsi="Tahoma" w:cs="Tahoma"/>
        </w:rPr>
        <w:t xml:space="preserve">borne basse de nuage </w:t>
      </w:r>
      <w:r w:rsidR="00274AD5">
        <w:rPr>
          <w:rFonts w:ascii="Tahoma" w:hAnsi="Tahoma" w:cs="Tahoma"/>
        </w:rPr>
        <w:t>aussi bien</w:t>
      </w:r>
      <w:r w:rsidR="00256885">
        <w:rPr>
          <w:rFonts w:ascii="Tahoma" w:hAnsi="Tahoma" w:cs="Tahoma"/>
        </w:rPr>
        <w:t xml:space="preserve"> pour le taux </w:t>
      </w:r>
      <w:r w:rsidR="00274AD5">
        <w:rPr>
          <w:rFonts w:ascii="Tahoma" w:hAnsi="Tahoma" w:cs="Tahoma"/>
        </w:rPr>
        <w:t>que</w:t>
      </w:r>
      <w:r w:rsidR="00256885">
        <w:rPr>
          <w:rFonts w:ascii="Tahoma" w:hAnsi="Tahoma" w:cs="Tahoma"/>
        </w:rPr>
        <w:t xml:space="preserve"> pour la LS. </w:t>
      </w:r>
    </w:p>
    <w:p w:rsidR="00256885" w:rsidRDefault="00256885" w:rsidP="001259C9">
      <w:pPr>
        <w:jc w:val="both"/>
        <w:rPr>
          <w:rFonts w:ascii="Tahoma" w:hAnsi="Tahoma" w:cs="Tahoma"/>
        </w:rPr>
      </w:pPr>
      <w:r>
        <w:rPr>
          <w:rFonts w:ascii="Tahoma" w:hAnsi="Tahoma" w:cs="Tahoma"/>
        </w:rPr>
        <w:t xml:space="preserve">Par ailleurs, le développement du nuage futur indique que le taux n’est pas en </w:t>
      </w:r>
      <w:r w:rsidR="00274AD5">
        <w:rPr>
          <w:rFonts w:ascii="Tahoma" w:hAnsi="Tahoma" w:cs="Tahoma"/>
        </w:rPr>
        <w:t>mouvement</w:t>
      </w:r>
      <w:r>
        <w:rPr>
          <w:rFonts w:ascii="Tahoma" w:hAnsi="Tahoma" w:cs="Tahoma"/>
        </w:rPr>
        <w:t xml:space="preserve">. Le dépassement du plat de SSB </w:t>
      </w:r>
      <w:r w:rsidR="00274AD5">
        <w:rPr>
          <w:rFonts w:ascii="Tahoma" w:hAnsi="Tahoma" w:cs="Tahoma"/>
        </w:rPr>
        <w:t>de</w:t>
      </w:r>
      <w:r>
        <w:rPr>
          <w:rFonts w:ascii="Tahoma" w:hAnsi="Tahoma" w:cs="Tahoma"/>
        </w:rPr>
        <w:t xml:space="preserve"> 0.64, proche des hauts récents </w:t>
      </w:r>
      <w:r w:rsidR="00274AD5">
        <w:rPr>
          <w:rFonts w:ascii="Tahoma" w:hAnsi="Tahoma" w:cs="Tahoma"/>
        </w:rPr>
        <w:t xml:space="preserve">du </w:t>
      </w:r>
      <w:r w:rsidR="00274AD5">
        <w:rPr>
          <w:rFonts w:ascii="Tahoma" w:hAnsi="Tahoma" w:cs="Tahoma"/>
        </w:rPr>
        <w:lastRenderedPageBreak/>
        <w:t>mois d’avril</w:t>
      </w:r>
      <w:r>
        <w:rPr>
          <w:rFonts w:ascii="Tahoma" w:hAnsi="Tahoma" w:cs="Tahoma"/>
        </w:rPr>
        <w:t xml:space="preserve"> permettra d’envisager le retour d’un mouvement haussier. Cette hausse sera limitée dans un premier temps à la résistance de 0.70.</w:t>
      </w:r>
    </w:p>
    <w:p w:rsidR="00860835" w:rsidRPr="008631EB" w:rsidRDefault="00256885" w:rsidP="001259C9">
      <w:pPr>
        <w:jc w:val="both"/>
        <w:rPr>
          <w:rFonts w:ascii="Tahoma" w:hAnsi="Tahoma" w:cs="Tahoma"/>
        </w:rPr>
      </w:pPr>
      <w:r>
        <w:rPr>
          <w:rFonts w:ascii="Tahoma" w:hAnsi="Tahoma" w:cs="Tahoma"/>
        </w:rPr>
        <w:t xml:space="preserve"> </w:t>
      </w:r>
    </w:p>
    <w:p w:rsidR="00F72829" w:rsidRPr="000D4E0C" w:rsidRDefault="00A82504" w:rsidP="00F72829">
      <w:pPr>
        <w:jc w:val="both"/>
        <w:rPr>
          <w:rFonts w:ascii="Tahoma" w:hAnsi="Tahoma" w:cs="Tahoma"/>
          <w:bCs/>
        </w:rPr>
      </w:pPr>
      <w:r w:rsidRPr="008631EB">
        <w:rPr>
          <w:rFonts w:ascii="Tahoma" w:hAnsi="Tahoma" w:cs="Tahoma"/>
          <w:bCs/>
        </w:rPr>
        <w:t xml:space="preserve">   </w:t>
      </w:r>
    </w:p>
    <w:p w:rsidR="00811CF5" w:rsidRPr="00EC4EBF" w:rsidRDefault="00F72829" w:rsidP="00732E1A">
      <w:pPr>
        <w:jc w:val="both"/>
        <w:rPr>
          <w:rFonts w:ascii="Arial" w:hAnsi="Arial" w:cs="Arial"/>
          <w:b/>
          <w:color w:val="00B050"/>
        </w:rPr>
      </w:pPr>
      <w:r w:rsidRPr="00A73D56">
        <w:rPr>
          <w:rFonts w:ascii="Arial" w:hAnsi="Arial" w:cs="Arial"/>
          <w:b/>
          <w:color w:val="00B050"/>
          <w:u w:val="single"/>
        </w:rPr>
        <w:t>HEBDOMADAIRE</w:t>
      </w:r>
      <w:r w:rsidRPr="00A73D56">
        <w:rPr>
          <w:rFonts w:ascii="Arial" w:hAnsi="Arial" w:cs="Arial"/>
          <w:b/>
          <w:color w:val="00B050"/>
        </w:rPr>
        <w:t xml:space="preserve"> : </w:t>
      </w:r>
      <w:r w:rsidR="00256885">
        <w:rPr>
          <w:rFonts w:ascii="Arial" w:hAnsi="Arial" w:cs="Arial"/>
          <w:b/>
          <w:color w:val="00B050"/>
        </w:rPr>
        <w:t xml:space="preserve">Pas de tendance marquée pour le 10 ans Euro sur les trois unités de temps. La configuration actuelle du marché limite son potentiel de déplacement. 0.54 servira encore une fois de point pivot pour envisager la hausse ou la baisse. </w:t>
      </w:r>
      <w:r w:rsidR="00E84B13">
        <w:rPr>
          <w:rFonts w:ascii="Arial" w:hAnsi="Arial" w:cs="Arial"/>
          <w:b/>
          <w:color w:val="00B050"/>
        </w:rPr>
        <w:t>Au-dessus</w:t>
      </w:r>
      <w:r w:rsidR="00256885">
        <w:rPr>
          <w:rFonts w:ascii="Arial" w:hAnsi="Arial" w:cs="Arial"/>
          <w:b/>
          <w:color w:val="00B050"/>
        </w:rPr>
        <w:t xml:space="preserve"> de 0.54 la première résistance se situera sur 0.65 voir</w:t>
      </w:r>
      <w:r w:rsidR="00992B49">
        <w:rPr>
          <w:rFonts w:ascii="Arial" w:hAnsi="Arial" w:cs="Arial"/>
          <w:b/>
          <w:color w:val="00B050"/>
        </w:rPr>
        <w:t>e</w:t>
      </w:r>
      <w:r w:rsidR="00256885">
        <w:rPr>
          <w:rFonts w:ascii="Arial" w:hAnsi="Arial" w:cs="Arial"/>
          <w:b/>
          <w:color w:val="00B050"/>
        </w:rPr>
        <w:t xml:space="preserve"> 0.70. </w:t>
      </w:r>
      <w:r w:rsidR="007E0829">
        <w:rPr>
          <w:rFonts w:ascii="Arial" w:hAnsi="Arial" w:cs="Arial"/>
          <w:b/>
          <w:color w:val="00B050"/>
        </w:rPr>
        <w:t>La baisse quant à elle se limitera au bas récent de 0.</w:t>
      </w:r>
      <w:r w:rsidR="00992B49">
        <w:rPr>
          <w:rFonts w:ascii="Arial" w:hAnsi="Arial" w:cs="Arial"/>
          <w:b/>
          <w:color w:val="00B050"/>
        </w:rPr>
        <w:t>47 voire 0.30 au mieux.</w:t>
      </w:r>
    </w:p>
    <w:p w:rsidR="00811CF5" w:rsidRDefault="00811CF5" w:rsidP="00732E1A">
      <w:pPr>
        <w:jc w:val="both"/>
        <w:rPr>
          <w:rFonts w:ascii="Arial" w:hAnsi="Arial" w:cs="Arial"/>
          <w:b/>
          <w:color w:val="00B050"/>
        </w:rPr>
      </w:pPr>
    </w:p>
    <w:p w:rsidR="00811CF5" w:rsidRDefault="00811C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Default="00A30EF5" w:rsidP="00732E1A">
      <w:pPr>
        <w:jc w:val="both"/>
        <w:rPr>
          <w:rFonts w:ascii="Arial" w:hAnsi="Arial" w:cs="Arial"/>
          <w:b/>
          <w:color w:val="00B050"/>
        </w:rPr>
      </w:pPr>
    </w:p>
    <w:p w:rsidR="00A30EF5" w:rsidRPr="00B03AED" w:rsidRDefault="00A30EF5" w:rsidP="00732E1A">
      <w:pPr>
        <w:jc w:val="both"/>
        <w:rPr>
          <w:rFonts w:ascii="Arial" w:hAnsi="Arial" w:cs="Arial"/>
          <w:b/>
          <w:color w:val="00B050"/>
        </w:rPr>
      </w:pPr>
    </w:p>
    <w:p w:rsidR="00E60B59" w:rsidRPr="000D72F9" w:rsidRDefault="003E1B3F" w:rsidP="003952D7">
      <w:pPr>
        <w:jc w:val="both"/>
        <w:rPr>
          <w:rFonts w:ascii="Arial" w:hAnsi="Arial" w:cs="Arial"/>
          <w:b/>
          <w:bCs/>
          <w:sz w:val="36"/>
          <w:szCs w:val="36"/>
          <w:u w:val="single"/>
          <w:lang w:val="en-US"/>
        </w:rPr>
      </w:pPr>
      <w:r w:rsidRPr="00A40891">
        <w:rPr>
          <w:rFonts w:ascii="Arial" w:hAnsi="Arial" w:cs="Arial"/>
          <w:b/>
          <w:color w:val="FF0000"/>
        </w:rPr>
        <w:lastRenderedPageBreak/>
        <w:t xml:space="preserve">                                          </w:t>
      </w:r>
      <w:r w:rsidRPr="000D72F9">
        <w:rPr>
          <w:rFonts w:ascii="Arial" w:hAnsi="Arial" w:cs="Arial"/>
          <w:b/>
          <w:bCs/>
          <w:sz w:val="36"/>
          <w:szCs w:val="36"/>
          <w:u w:val="single"/>
          <w:lang w:val="en-US"/>
        </w:rPr>
        <w:t>BUND</w:t>
      </w:r>
      <w:r w:rsidR="00E60B59" w:rsidRPr="000D72F9">
        <w:rPr>
          <w:rFonts w:ascii="Arial" w:hAnsi="Arial" w:cs="Arial"/>
          <w:b/>
          <w:bCs/>
          <w:sz w:val="36"/>
          <w:szCs w:val="36"/>
          <w:u w:val="single"/>
          <w:lang w:val="en-US"/>
        </w:rPr>
        <w:t xml:space="preserve">   (week)</w:t>
      </w:r>
    </w:p>
    <w:p w:rsidR="00BA1E3D" w:rsidRPr="000D72F9" w:rsidRDefault="00BA1E3D" w:rsidP="003952D7">
      <w:pPr>
        <w:jc w:val="both"/>
        <w:rPr>
          <w:rFonts w:ascii="Arial" w:hAnsi="Arial" w:cs="Arial"/>
          <w:b/>
          <w:bCs/>
          <w:sz w:val="36"/>
          <w:szCs w:val="36"/>
          <w:u w:val="single"/>
          <w:lang w:val="en-US"/>
        </w:rPr>
      </w:pPr>
    </w:p>
    <w:p w:rsidR="00BA1E3D" w:rsidRPr="000D72F9" w:rsidRDefault="00401CC8" w:rsidP="003952D7">
      <w:pPr>
        <w:jc w:val="both"/>
        <w:rPr>
          <w:rFonts w:ascii="Arial" w:hAnsi="Arial" w:cs="Arial"/>
          <w:b/>
          <w:bCs/>
          <w:sz w:val="36"/>
          <w:szCs w:val="36"/>
          <w:u w:val="single"/>
          <w:lang w:val="en-US"/>
        </w:rPr>
      </w:pPr>
      <w:r>
        <w:rPr>
          <w:noProof/>
        </w:rPr>
        <w:drawing>
          <wp:inline distT="0" distB="0" distL="0" distR="0" wp14:anchorId="476D521F" wp14:editId="58D74E24">
            <wp:extent cx="5731510" cy="4575810"/>
            <wp:effectExtent l="0" t="0" r="254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575810"/>
                    </a:xfrm>
                    <a:prstGeom prst="rect">
                      <a:avLst/>
                    </a:prstGeom>
                  </pic:spPr>
                </pic:pic>
              </a:graphicData>
            </a:graphic>
          </wp:inline>
        </w:drawing>
      </w:r>
    </w:p>
    <w:p w:rsidR="003E1B3F" w:rsidRPr="000D72F9" w:rsidRDefault="003E1B3F" w:rsidP="003952D7">
      <w:pPr>
        <w:jc w:val="both"/>
        <w:rPr>
          <w:rFonts w:ascii="Arial" w:hAnsi="Arial" w:cs="Arial"/>
          <w:b/>
          <w:color w:val="FF0000"/>
          <w:lang w:val="en-US"/>
        </w:rPr>
      </w:pPr>
    </w:p>
    <w:p w:rsidR="003E1B3F" w:rsidRPr="000D72F9" w:rsidRDefault="003E1B3F" w:rsidP="003952D7">
      <w:pPr>
        <w:jc w:val="both"/>
        <w:rPr>
          <w:rFonts w:ascii="Arial" w:hAnsi="Arial" w:cs="Arial"/>
          <w:b/>
          <w:color w:val="FF0000"/>
          <w:lang w:val="en-US"/>
        </w:rPr>
      </w:pPr>
    </w:p>
    <w:p w:rsidR="00DE7494" w:rsidRDefault="00DE7494" w:rsidP="001259C9">
      <w:pPr>
        <w:jc w:val="both"/>
        <w:rPr>
          <w:rFonts w:ascii="Tahoma" w:hAnsi="Tahoma" w:cs="Tahoma"/>
        </w:rPr>
      </w:pPr>
      <w:r>
        <w:rPr>
          <w:rFonts w:ascii="Tahoma" w:hAnsi="Tahoma" w:cs="Tahoma"/>
        </w:rPr>
        <w:t>- Large consolidation du contrat au sein d’une dérive latérale comprise entre 154.70 et 161.10 avec pour niveau central 157.86.</w:t>
      </w:r>
    </w:p>
    <w:p w:rsidR="00DE7494" w:rsidRDefault="00DE7494" w:rsidP="001259C9">
      <w:pPr>
        <w:jc w:val="both"/>
        <w:rPr>
          <w:rFonts w:ascii="Tahoma" w:hAnsi="Tahoma" w:cs="Tahoma"/>
        </w:rPr>
      </w:pPr>
    </w:p>
    <w:p w:rsidR="003E749D" w:rsidRPr="00E357EC" w:rsidRDefault="003E1B3F" w:rsidP="001259C9">
      <w:pPr>
        <w:jc w:val="both"/>
        <w:rPr>
          <w:rFonts w:ascii="Tahoma" w:hAnsi="Tahoma" w:cs="Tahoma"/>
        </w:rPr>
      </w:pPr>
      <w:r w:rsidRPr="00E357EC">
        <w:rPr>
          <w:rFonts w:ascii="Tahoma" w:hAnsi="Tahoma" w:cs="Tahoma"/>
        </w:rPr>
        <w:t xml:space="preserve">- </w:t>
      </w:r>
      <w:r w:rsidR="00401CC8" w:rsidRPr="00E357EC">
        <w:rPr>
          <w:rFonts w:ascii="Tahoma" w:hAnsi="Tahoma" w:cs="Tahoma"/>
        </w:rPr>
        <w:t>L</w:t>
      </w:r>
      <w:r w:rsidR="00E357EC" w:rsidRPr="00E357EC">
        <w:rPr>
          <w:rFonts w:ascii="Tahoma" w:hAnsi="Tahoma" w:cs="Tahoma"/>
        </w:rPr>
        <w:t>a chandelle de la semaine dernière traduit de l’indécision.</w:t>
      </w:r>
    </w:p>
    <w:p w:rsidR="00E357EC" w:rsidRDefault="00E357EC" w:rsidP="001259C9">
      <w:pPr>
        <w:jc w:val="both"/>
        <w:rPr>
          <w:rFonts w:ascii="Tahoma" w:hAnsi="Tahoma" w:cs="Tahoma"/>
        </w:rPr>
      </w:pPr>
    </w:p>
    <w:p w:rsidR="00E357EC" w:rsidRDefault="00A04A6C" w:rsidP="001259C9">
      <w:pPr>
        <w:jc w:val="both"/>
        <w:rPr>
          <w:rFonts w:ascii="Tahoma" w:hAnsi="Tahoma" w:cs="Tahoma"/>
        </w:rPr>
      </w:pPr>
      <w:r>
        <w:rPr>
          <w:rFonts w:ascii="Tahoma" w:hAnsi="Tahoma" w:cs="Tahoma"/>
        </w:rPr>
        <w:t>- Elle peut remettre en question la hausse qui a débuté après le point bas de 157.43.</w:t>
      </w:r>
    </w:p>
    <w:p w:rsidR="00A04A6C" w:rsidRDefault="00A04A6C" w:rsidP="001259C9">
      <w:pPr>
        <w:jc w:val="both"/>
        <w:rPr>
          <w:rFonts w:ascii="Tahoma" w:hAnsi="Tahoma" w:cs="Tahoma"/>
        </w:rPr>
      </w:pPr>
    </w:p>
    <w:p w:rsidR="00A04A6C" w:rsidRDefault="00A04A6C" w:rsidP="001259C9">
      <w:pPr>
        <w:jc w:val="both"/>
        <w:rPr>
          <w:rFonts w:ascii="Tahoma" w:hAnsi="Tahoma" w:cs="Tahoma"/>
        </w:rPr>
      </w:pPr>
      <w:r>
        <w:rPr>
          <w:rFonts w:ascii="Tahoma" w:hAnsi="Tahoma" w:cs="Tahoma"/>
        </w:rPr>
        <w:t xml:space="preserve">- </w:t>
      </w:r>
      <w:r w:rsidR="00B83DFB">
        <w:rPr>
          <w:rFonts w:ascii="Tahoma" w:hAnsi="Tahoma" w:cs="Tahoma"/>
        </w:rPr>
        <w:t>L</w:t>
      </w:r>
      <w:r>
        <w:rPr>
          <w:rFonts w:ascii="Tahoma" w:hAnsi="Tahoma" w:cs="Tahoma"/>
        </w:rPr>
        <w:t>’oblique baissière</w:t>
      </w:r>
      <w:r w:rsidR="00B83DFB">
        <w:rPr>
          <w:rFonts w:ascii="Tahoma" w:hAnsi="Tahoma" w:cs="Tahoma"/>
        </w:rPr>
        <w:t xml:space="preserve"> (159.33)</w:t>
      </w:r>
      <w:r>
        <w:rPr>
          <w:rFonts w:ascii="Tahoma" w:hAnsi="Tahoma" w:cs="Tahoma"/>
        </w:rPr>
        <w:t xml:space="preserve"> sous les hauts récents</w:t>
      </w:r>
      <w:r w:rsidR="00B83DFB">
        <w:rPr>
          <w:rFonts w:ascii="Tahoma" w:hAnsi="Tahoma" w:cs="Tahoma"/>
        </w:rPr>
        <w:t>,</w:t>
      </w:r>
      <w:r>
        <w:rPr>
          <w:rFonts w:ascii="Tahoma" w:hAnsi="Tahoma" w:cs="Tahoma"/>
        </w:rPr>
        <w:t xml:space="preserve"> renforce le biais favorable à une correction des prix. </w:t>
      </w:r>
    </w:p>
    <w:p w:rsidR="00DE7494" w:rsidRDefault="00DE7494" w:rsidP="001259C9">
      <w:pPr>
        <w:jc w:val="both"/>
        <w:rPr>
          <w:rFonts w:ascii="Tahoma" w:hAnsi="Tahoma" w:cs="Tahoma"/>
        </w:rPr>
      </w:pPr>
    </w:p>
    <w:p w:rsidR="00DE7494" w:rsidRDefault="00DE7494" w:rsidP="001259C9">
      <w:pPr>
        <w:jc w:val="both"/>
        <w:rPr>
          <w:rFonts w:ascii="Tahoma" w:hAnsi="Tahoma" w:cs="Tahoma"/>
        </w:rPr>
      </w:pPr>
      <w:r>
        <w:rPr>
          <w:rFonts w:ascii="Tahoma" w:hAnsi="Tahoma" w:cs="Tahoma"/>
        </w:rPr>
        <w:t>- TS en support sur 158.56.</w:t>
      </w:r>
    </w:p>
    <w:p w:rsidR="00DE7494" w:rsidRDefault="00DE7494" w:rsidP="001259C9">
      <w:pPr>
        <w:jc w:val="both"/>
        <w:rPr>
          <w:rFonts w:ascii="Tahoma" w:hAnsi="Tahoma" w:cs="Tahoma"/>
        </w:rPr>
      </w:pPr>
    </w:p>
    <w:p w:rsidR="00DE7494" w:rsidRDefault="00DE7494" w:rsidP="001259C9">
      <w:pPr>
        <w:jc w:val="both"/>
        <w:rPr>
          <w:rFonts w:ascii="Tahoma" w:hAnsi="Tahoma" w:cs="Tahoma"/>
        </w:rPr>
      </w:pPr>
      <w:r>
        <w:rPr>
          <w:rFonts w:ascii="Tahoma" w:hAnsi="Tahoma" w:cs="Tahoma"/>
        </w:rPr>
        <w:t>- Entre 159.69 et 157.43, la TS se stabilisera sur le niveau actuel de 158.56 et en renforcera le point.</w:t>
      </w:r>
    </w:p>
    <w:p w:rsidR="00DE7494" w:rsidRDefault="00DE7494" w:rsidP="001259C9">
      <w:pPr>
        <w:jc w:val="both"/>
        <w:rPr>
          <w:rFonts w:ascii="Tahoma" w:hAnsi="Tahoma" w:cs="Tahoma"/>
        </w:rPr>
      </w:pPr>
    </w:p>
    <w:p w:rsidR="002B4084" w:rsidRDefault="00DE7494" w:rsidP="00AB20FB">
      <w:pPr>
        <w:jc w:val="both"/>
        <w:rPr>
          <w:rFonts w:ascii="Tahoma" w:hAnsi="Tahoma" w:cs="Tahoma"/>
        </w:rPr>
      </w:pPr>
      <w:r>
        <w:rPr>
          <w:rFonts w:ascii="Tahoma" w:hAnsi="Tahoma" w:cs="Tahoma"/>
        </w:rPr>
        <w:t>- En cassure de 158.56, le prix seront attirés par la KS plate sur 157.86.</w:t>
      </w:r>
    </w:p>
    <w:p w:rsidR="00A30EF5" w:rsidRPr="00E357EC" w:rsidRDefault="00A30EF5" w:rsidP="00AB20FB">
      <w:pPr>
        <w:jc w:val="both"/>
        <w:rPr>
          <w:rFonts w:ascii="Tahoma" w:hAnsi="Tahoma" w:cs="Tahoma"/>
        </w:rPr>
      </w:pPr>
    </w:p>
    <w:p w:rsidR="00875D08" w:rsidRPr="00E357EC" w:rsidRDefault="00875D08" w:rsidP="00AB20FB">
      <w:pPr>
        <w:jc w:val="both"/>
        <w:rPr>
          <w:rFonts w:ascii="Tahoma" w:hAnsi="Tahoma" w:cs="Tahoma"/>
        </w:rPr>
      </w:pPr>
    </w:p>
    <w:p w:rsidR="00E60B59" w:rsidRPr="00DE7494" w:rsidRDefault="00B35DBD" w:rsidP="003952D7">
      <w:pPr>
        <w:jc w:val="both"/>
        <w:rPr>
          <w:rFonts w:ascii="Arial" w:hAnsi="Arial" w:cs="Arial"/>
          <w:b/>
          <w:bCs/>
          <w:sz w:val="36"/>
          <w:szCs w:val="36"/>
          <w:u w:val="single"/>
        </w:rPr>
      </w:pPr>
      <w:r w:rsidRPr="00E357EC">
        <w:rPr>
          <w:rFonts w:ascii="Tahoma" w:hAnsi="Tahoma" w:cs="Tahoma"/>
        </w:rPr>
        <w:lastRenderedPageBreak/>
        <w:t xml:space="preserve">                                       </w:t>
      </w:r>
      <w:r w:rsidRPr="00DE7494">
        <w:rPr>
          <w:rFonts w:ascii="Arial" w:hAnsi="Arial" w:cs="Arial"/>
          <w:b/>
          <w:bCs/>
          <w:sz w:val="36"/>
          <w:szCs w:val="36"/>
          <w:u w:val="single"/>
        </w:rPr>
        <w:t>BUND   (day)</w:t>
      </w:r>
    </w:p>
    <w:p w:rsidR="00B35DBD" w:rsidRPr="00DE7494" w:rsidRDefault="00B35DBD" w:rsidP="003952D7">
      <w:pPr>
        <w:jc w:val="both"/>
        <w:rPr>
          <w:rFonts w:ascii="Tahoma" w:hAnsi="Tahoma" w:cs="Tahoma"/>
        </w:rPr>
      </w:pPr>
    </w:p>
    <w:p w:rsidR="00B35DBD" w:rsidRPr="00DE7494" w:rsidRDefault="00415641" w:rsidP="003952D7">
      <w:pPr>
        <w:jc w:val="both"/>
        <w:rPr>
          <w:rFonts w:ascii="Arial" w:hAnsi="Arial" w:cs="Arial"/>
          <w:b/>
          <w:color w:val="FF0000"/>
        </w:rPr>
      </w:pPr>
      <w:r>
        <w:rPr>
          <w:noProof/>
        </w:rPr>
        <w:drawing>
          <wp:inline distT="0" distB="0" distL="0" distR="0" wp14:anchorId="453DDEDA" wp14:editId="379293BC">
            <wp:extent cx="5731510" cy="4936490"/>
            <wp:effectExtent l="0" t="0" r="254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936490"/>
                    </a:xfrm>
                    <a:prstGeom prst="rect">
                      <a:avLst/>
                    </a:prstGeom>
                  </pic:spPr>
                </pic:pic>
              </a:graphicData>
            </a:graphic>
          </wp:inline>
        </w:drawing>
      </w:r>
    </w:p>
    <w:p w:rsidR="00A84247" w:rsidRPr="00DE7494" w:rsidRDefault="00A84247" w:rsidP="003952D7">
      <w:pPr>
        <w:jc w:val="both"/>
        <w:rPr>
          <w:rFonts w:ascii="Arial" w:hAnsi="Arial" w:cs="Arial"/>
          <w:b/>
        </w:rPr>
      </w:pPr>
    </w:p>
    <w:p w:rsidR="00B35DBD" w:rsidRPr="00DE7494" w:rsidRDefault="00B35DBD" w:rsidP="003952D7">
      <w:pPr>
        <w:jc w:val="both"/>
        <w:rPr>
          <w:rFonts w:ascii="Arial" w:hAnsi="Arial" w:cs="Arial"/>
          <w:b/>
          <w:color w:val="FF0000"/>
        </w:rPr>
      </w:pPr>
    </w:p>
    <w:p w:rsidR="00D37A42" w:rsidRDefault="003C27DA" w:rsidP="001259C9">
      <w:pPr>
        <w:jc w:val="both"/>
        <w:rPr>
          <w:rFonts w:ascii="Tahoma" w:hAnsi="Tahoma" w:cs="Tahoma"/>
        </w:rPr>
      </w:pPr>
      <w:r w:rsidRPr="00DE7494">
        <w:rPr>
          <w:rFonts w:ascii="Tahoma" w:hAnsi="Tahoma" w:cs="Tahoma"/>
        </w:rPr>
        <w:t xml:space="preserve">- </w:t>
      </w:r>
      <w:r w:rsidR="00141BFC">
        <w:rPr>
          <w:rFonts w:ascii="Tahoma" w:hAnsi="Tahoma" w:cs="Tahoma"/>
        </w:rPr>
        <w:t>Les bougies sans corps vrais de la fin de semaine traduisaient de l’indécision.</w:t>
      </w:r>
    </w:p>
    <w:p w:rsidR="00141BFC" w:rsidRDefault="00141BFC" w:rsidP="001259C9">
      <w:pPr>
        <w:jc w:val="both"/>
        <w:rPr>
          <w:rFonts w:ascii="Tahoma" w:hAnsi="Tahoma" w:cs="Tahoma"/>
        </w:rPr>
      </w:pPr>
    </w:p>
    <w:p w:rsidR="00141BFC" w:rsidRDefault="00141BFC" w:rsidP="001259C9">
      <w:pPr>
        <w:jc w:val="both"/>
        <w:rPr>
          <w:rFonts w:ascii="Tahoma" w:hAnsi="Tahoma" w:cs="Tahoma"/>
        </w:rPr>
      </w:pPr>
      <w:r>
        <w:rPr>
          <w:rFonts w:ascii="Tahoma" w:hAnsi="Tahoma" w:cs="Tahoma"/>
        </w:rPr>
        <w:t>- Le marché évolue entre une résistance à 159.4</w:t>
      </w:r>
      <w:r w:rsidR="002E3C88">
        <w:rPr>
          <w:rFonts w:ascii="Tahoma" w:hAnsi="Tahoma" w:cs="Tahoma"/>
        </w:rPr>
        <w:t>0</w:t>
      </w:r>
      <w:r>
        <w:rPr>
          <w:rFonts w:ascii="Tahoma" w:hAnsi="Tahoma" w:cs="Tahoma"/>
        </w:rPr>
        <w:t xml:space="preserve"> et un support à 158.54. Le premier point représente un ancien plat de nuage et le second un plat de KS.</w:t>
      </w:r>
    </w:p>
    <w:p w:rsidR="00141BFC" w:rsidRDefault="00141BFC" w:rsidP="001259C9">
      <w:pPr>
        <w:jc w:val="both"/>
        <w:rPr>
          <w:rFonts w:ascii="Tahoma" w:hAnsi="Tahoma" w:cs="Tahoma"/>
        </w:rPr>
      </w:pPr>
    </w:p>
    <w:p w:rsidR="00141BFC" w:rsidRDefault="00141BFC" w:rsidP="001259C9">
      <w:pPr>
        <w:jc w:val="both"/>
        <w:rPr>
          <w:rFonts w:ascii="Tahoma" w:hAnsi="Tahoma" w:cs="Tahoma"/>
        </w:rPr>
      </w:pPr>
      <w:r>
        <w:rPr>
          <w:rFonts w:ascii="Tahoma" w:hAnsi="Tahoma" w:cs="Tahoma"/>
        </w:rPr>
        <w:t>- En l’absence de tendance, la KS attirera les prix sur chaque éloignement.</w:t>
      </w:r>
    </w:p>
    <w:p w:rsidR="0006167C" w:rsidRDefault="0006167C" w:rsidP="001259C9">
      <w:pPr>
        <w:jc w:val="both"/>
        <w:rPr>
          <w:rFonts w:ascii="Tahoma" w:hAnsi="Tahoma" w:cs="Tahoma"/>
        </w:rPr>
      </w:pPr>
    </w:p>
    <w:p w:rsidR="0006167C" w:rsidRDefault="0006167C" w:rsidP="001259C9">
      <w:pPr>
        <w:jc w:val="both"/>
        <w:rPr>
          <w:rFonts w:ascii="Tahoma" w:hAnsi="Tahoma" w:cs="Tahoma"/>
        </w:rPr>
      </w:pPr>
      <w:r>
        <w:rPr>
          <w:rFonts w:ascii="Tahoma" w:hAnsi="Tahoma" w:cs="Tahoma"/>
        </w:rPr>
        <w:t>- La KS de 158.54 sera renforcée par la bordure haute du nuage.</w:t>
      </w:r>
    </w:p>
    <w:p w:rsidR="0006167C" w:rsidRDefault="0006167C" w:rsidP="001259C9">
      <w:pPr>
        <w:jc w:val="both"/>
        <w:rPr>
          <w:rFonts w:ascii="Tahoma" w:hAnsi="Tahoma" w:cs="Tahoma"/>
        </w:rPr>
      </w:pPr>
    </w:p>
    <w:p w:rsidR="0006167C" w:rsidRPr="00DE7494" w:rsidRDefault="0006167C" w:rsidP="001259C9">
      <w:pPr>
        <w:jc w:val="both"/>
        <w:rPr>
          <w:rFonts w:ascii="Tahoma" w:hAnsi="Tahoma" w:cs="Tahoma"/>
        </w:rPr>
      </w:pPr>
      <w:r>
        <w:rPr>
          <w:rFonts w:ascii="Tahoma" w:hAnsi="Tahoma" w:cs="Tahoma"/>
        </w:rPr>
        <w:t>- En cassure du support de 158.54, la LS trouvera de l’espace pour revenir sur sa KS plate sur 157.95.</w:t>
      </w:r>
    </w:p>
    <w:p w:rsidR="002B4084" w:rsidRDefault="002B4084" w:rsidP="00F72829">
      <w:pPr>
        <w:jc w:val="both"/>
        <w:rPr>
          <w:rFonts w:ascii="Tahoma" w:hAnsi="Tahoma" w:cs="Tahoma"/>
        </w:rPr>
      </w:pPr>
    </w:p>
    <w:p w:rsidR="002E3C88" w:rsidRDefault="002E3C88" w:rsidP="00F72829">
      <w:pPr>
        <w:jc w:val="both"/>
        <w:rPr>
          <w:rFonts w:ascii="Tahoma" w:hAnsi="Tahoma" w:cs="Tahoma"/>
        </w:rPr>
      </w:pPr>
    </w:p>
    <w:p w:rsidR="002E3C88" w:rsidRDefault="002E3C88" w:rsidP="00F72829">
      <w:pPr>
        <w:jc w:val="both"/>
        <w:rPr>
          <w:rFonts w:ascii="Tahoma" w:hAnsi="Tahoma" w:cs="Tahoma"/>
        </w:rPr>
      </w:pPr>
    </w:p>
    <w:p w:rsidR="002B4084" w:rsidRDefault="002B4084" w:rsidP="00F72829">
      <w:pPr>
        <w:jc w:val="both"/>
        <w:rPr>
          <w:rFonts w:ascii="Tahoma" w:hAnsi="Tahoma" w:cs="Tahoma"/>
        </w:rPr>
      </w:pPr>
    </w:p>
    <w:p w:rsidR="00A30EF5" w:rsidRPr="00DE7494" w:rsidRDefault="00A30EF5" w:rsidP="00F72829">
      <w:pPr>
        <w:jc w:val="both"/>
        <w:rPr>
          <w:rFonts w:ascii="Tahoma" w:hAnsi="Tahoma" w:cs="Tahoma"/>
        </w:rPr>
      </w:pPr>
    </w:p>
    <w:p w:rsidR="00F72829" w:rsidRPr="00DE7494" w:rsidRDefault="004E02D3" w:rsidP="00F72829">
      <w:pPr>
        <w:jc w:val="both"/>
        <w:rPr>
          <w:rFonts w:ascii="Arial" w:hAnsi="Arial" w:cs="Arial"/>
          <w:b/>
          <w:bCs/>
          <w:sz w:val="36"/>
          <w:szCs w:val="36"/>
          <w:u w:val="single"/>
        </w:rPr>
      </w:pPr>
      <w:r w:rsidRPr="00DE7494">
        <w:rPr>
          <w:rFonts w:ascii="Arial" w:hAnsi="Arial" w:cs="Arial"/>
          <w:b/>
          <w:bCs/>
          <w:sz w:val="28"/>
          <w:szCs w:val="28"/>
        </w:rPr>
        <w:lastRenderedPageBreak/>
        <w:t xml:space="preserve"> </w:t>
      </w:r>
      <w:r w:rsidR="00F72829" w:rsidRPr="00DE7494">
        <w:rPr>
          <w:rFonts w:ascii="Arial" w:hAnsi="Arial" w:cs="Arial"/>
          <w:b/>
          <w:bCs/>
          <w:sz w:val="28"/>
          <w:szCs w:val="28"/>
        </w:rPr>
        <w:t xml:space="preserve">                                     </w:t>
      </w:r>
      <w:r w:rsidR="00F72829" w:rsidRPr="00DE7494">
        <w:rPr>
          <w:rFonts w:ascii="Arial" w:hAnsi="Arial" w:cs="Arial"/>
          <w:b/>
          <w:bCs/>
          <w:sz w:val="36"/>
          <w:szCs w:val="36"/>
          <w:u w:val="single"/>
        </w:rPr>
        <w:t xml:space="preserve">10 ans USA </w:t>
      </w:r>
    </w:p>
    <w:p w:rsidR="00F72829" w:rsidRPr="00DE7494" w:rsidRDefault="00F72829" w:rsidP="00F72829">
      <w:pPr>
        <w:tabs>
          <w:tab w:val="left" w:pos="4395"/>
        </w:tabs>
        <w:ind w:left="-850"/>
        <w:jc w:val="both"/>
        <w:rPr>
          <w:rFonts w:ascii="Arial" w:hAnsi="Arial" w:cs="Arial"/>
          <w:b/>
          <w:bCs/>
          <w:sz w:val="28"/>
          <w:szCs w:val="28"/>
          <w:u w:val="single"/>
        </w:rPr>
      </w:pPr>
    </w:p>
    <w:p w:rsidR="00F72829" w:rsidRPr="000D72F9" w:rsidRDefault="00F72829" w:rsidP="00BE257A">
      <w:pPr>
        <w:jc w:val="both"/>
        <w:rPr>
          <w:rFonts w:ascii="Arial" w:hAnsi="Arial" w:cs="Arial"/>
          <w:b/>
          <w:sz w:val="28"/>
          <w:szCs w:val="28"/>
          <w:u w:val="single"/>
          <w:lang w:val="en-US"/>
        </w:rPr>
      </w:pPr>
      <w:r w:rsidRPr="00DE7494">
        <w:rPr>
          <w:rFonts w:ascii="Arial" w:hAnsi="Arial" w:cs="Arial"/>
          <w:b/>
          <w:sz w:val="28"/>
          <w:szCs w:val="28"/>
          <w:u w:val="single"/>
        </w:rPr>
        <w:t>Mon</w:t>
      </w:r>
      <w:r w:rsidRPr="000D72F9">
        <w:rPr>
          <w:rFonts w:ascii="Arial" w:hAnsi="Arial" w:cs="Arial"/>
          <w:b/>
          <w:sz w:val="28"/>
          <w:szCs w:val="28"/>
          <w:u w:val="single"/>
          <w:lang w:val="en-US"/>
        </w:rPr>
        <w:t>thly</w:t>
      </w:r>
    </w:p>
    <w:p w:rsidR="00B03AED" w:rsidRPr="009601F4" w:rsidRDefault="004A5B07" w:rsidP="006E6472">
      <w:pPr>
        <w:ind w:left="-850"/>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857144" cy="3710940"/>
            <wp:effectExtent l="0" t="0" r="1270" b="3810"/>
            <wp:docPr id="7" name="Image 7" descr="C:\Temp\Bloomberg\temp\bfm422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Temp\Bloomberg\temp\bfm422A.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6620" cy="3710656"/>
                    </a:xfrm>
                    <a:prstGeom prst="rect">
                      <a:avLst/>
                    </a:prstGeom>
                    <a:noFill/>
                    <a:ln>
                      <a:noFill/>
                    </a:ln>
                  </pic:spPr>
                </pic:pic>
              </a:graphicData>
            </a:graphic>
          </wp:inline>
        </w:drawing>
      </w:r>
    </w:p>
    <w:p w:rsidR="00B03AED" w:rsidRPr="009601F4" w:rsidRDefault="00B03AED" w:rsidP="006E6472">
      <w:pPr>
        <w:jc w:val="both"/>
        <w:rPr>
          <w:rFonts w:ascii="Arial" w:hAnsi="Arial" w:cs="Arial"/>
          <w:b/>
          <w:bCs/>
          <w:sz w:val="28"/>
          <w:szCs w:val="28"/>
          <w:u w:val="single"/>
          <w:lang w:val="en-US"/>
        </w:rPr>
      </w:pPr>
      <w:r w:rsidRPr="009601F4">
        <w:rPr>
          <w:rFonts w:ascii="Arial" w:hAnsi="Arial" w:cs="Arial"/>
          <w:b/>
          <w:bCs/>
          <w:sz w:val="28"/>
          <w:szCs w:val="28"/>
          <w:u w:val="single"/>
          <w:lang w:val="en-US"/>
        </w:rPr>
        <w:t>Weekly</w:t>
      </w:r>
    </w:p>
    <w:p w:rsidR="006E6472" w:rsidRPr="009601F4" w:rsidRDefault="004A5B07" w:rsidP="006E6472">
      <w:pPr>
        <w:ind w:left="-850"/>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858000" cy="4135001"/>
            <wp:effectExtent l="0" t="0" r="0" b="0"/>
            <wp:docPr id="8" name="Image 8" descr="C:\Temp\Bloomberg\temp\bfmB12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Temp\Bloomberg\temp\bfmB123.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50410" cy="4130425"/>
                    </a:xfrm>
                    <a:prstGeom prst="rect">
                      <a:avLst/>
                    </a:prstGeom>
                    <a:noFill/>
                    <a:ln>
                      <a:noFill/>
                    </a:ln>
                  </pic:spPr>
                </pic:pic>
              </a:graphicData>
            </a:graphic>
          </wp:inline>
        </w:drawing>
      </w:r>
    </w:p>
    <w:p w:rsidR="00B03AED" w:rsidRPr="009601F4" w:rsidRDefault="00A30EF5" w:rsidP="006E6472">
      <w:pPr>
        <w:ind w:left="-850"/>
        <w:jc w:val="both"/>
        <w:rPr>
          <w:rFonts w:ascii="Arial" w:hAnsi="Arial" w:cs="Arial"/>
          <w:b/>
          <w:bCs/>
          <w:sz w:val="28"/>
          <w:szCs w:val="28"/>
          <w:u w:val="single"/>
          <w:lang w:val="en-US"/>
        </w:rPr>
      </w:pPr>
      <w:r>
        <w:rPr>
          <w:rFonts w:ascii="Arial" w:hAnsi="Arial" w:cs="Arial"/>
          <w:b/>
          <w:bCs/>
          <w:sz w:val="28"/>
          <w:szCs w:val="28"/>
          <w:lang w:val="en-US"/>
        </w:rPr>
        <w:lastRenderedPageBreak/>
        <w:t xml:space="preserve">       </w:t>
      </w:r>
      <w:r w:rsidR="00B4277F" w:rsidRPr="009601F4">
        <w:rPr>
          <w:rFonts w:ascii="Arial" w:hAnsi="Arial" w:cs="Arial"/>
          <w:b/>
          <w:bCs/>
          <w:sz w:val="28"/>
          <w:szCs w:val="28"/>
          <w:lang w:val="en-US"/>
        </w:rPr>
        <w:t xml:space="preserve">   </w:t>
      </w:r>
      <w:r w:rsidR="00B03AED" w:rsidRPr="009601F4">
        <w:rPr>
          <w:rFonts w:ascii="Arial" w:hAnsi="Arial" w:cs="Arial"/>
          <w:b/>
          <w:bCs/>
          <w:sz w:val="28"/>
          <w:szCs w:val="28"/>
          <w:u w:val="single"/>
          <w:lang w:val="en-US"/>
        </w:rPr>
        <w:t xml:space="preserve">Daily </w:t>
      </w:r>
    </w:p>
    <w:p w:rsidR="00AD7F6F" w:rsidRDefault="004A5B07" w:rsidP="004A5B07">
      <w:pPr>
        <w:ind w:left="-850"/>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14:anchorId="047FAA86" wp14:editId="30BD84B0">
            <wp:extent cx="6751320" cy="4135001"/>
            <wp:effectExtent l="0" t="0" r="0" b="0"/>
            <wp:docPr id="9" name="Image 9" descr="C:\Temp\Bloomberg\temp\bfm206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Temp\Bloomberg\temp\bfm206A.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43848" cy="4130425"/>
                    </a:xfrm>
                    <a:prstGeom prst="rect">
                      <a:avLst/>
                    </a:prstGeom>
                    <a:noFill/>
                    <a:ln>
                      <a:noFill/>
                    </a:ln>
                  </pic:spPr>
                </pic:pic>
              </a:graphicData>
            </a:graphic>
          </wp:inline>
        </w:drawing>
      </w:r>
    </w:p>
    <w:p w:rsidR="00A30EF5" w:rsidRPr="004A5B07" w:rsidRDefault="00A30EF5" w:rsidP="004A5B07">
      <w:pPr>
        <w:ind w:left="-850"/>
        <w:jc w:val="both"/>
        <w:rPr>
          <w:rFonts w:ascii="Arial" w:hAnsi="Arial" w:cs="Arial"/>
          <w:b/>
          <w:bCs/>
          <w:sz w:val="28"/>
          <w:szCs w:val="28"/>
          <w:u w:val="single"/>
          <w:lang w:val="en-US"/>
        </w:rPr>
      </w:pPr>
    </w:p>
    <w:p w:rsidR="00626AF6" w:rsidRDefault="00D2583B" w:rsidP="00D2583B">
      <w:pPr>
        <w:tabs>
          <w:tab w:val="left" w:pos="5868"/>
        </w:tabs>
        <w:autoSpaceDE w:val="0"/>
        <w:jc w:val="both"/>
        <w:rPr>
          <w:rFonts w:ascii="Tahoma" w:hAnsi="Tahoma" w:cs="Tahoma"/>
        </w:rPr>
      </w:pPr>
      <w:r w:rsidRPr="00D07DCB">
        <w:rPr>
          <w:rFonts w:ascii="Arial" w:hAnsi="Arial" w:cs="Arial"/>
          <w:b/>
          <w:bCs/>
        </w:rPr>
        <w:t>M</w:t>
      </w:r>
      <w:r w:rsidRPr="00D07DCB">
        <w:rPr>
          <w:rFonts w:ascii="Tahoma" w:hAnsi="Tahoma" w:cs="Tahoma"/>
        </w:rPr>
        <w:t xml:space="preserve"> : </w:t>
      </w:r>
      <w:r w:rsidR="00626AF6">
        <w:rPr>
          <w:rFonts w:ascii="Tahoma" w:hAnsi="Tahoma" w:cs="Tahoma"/>
        </w:rPr>
        <w:t>Le 10 ans US est venu tester sa résistance de long terme de 3.05 (plus haut à 3.03) sans parvenir à l’invalider.</w:t>
      </w:r>
    </w:p>
    <w:p w:rsidR="00626AF6" w:rsidRDefault="00E5074A" w:rsidP="00D2583B">
      <w:pPr>
        <w:tabs>
          <w:tab w:val="left" w:pos="5868"/>
        </w:tabs>
        <w:autoSpaceDE w:val="0"/>
        <w:jc w:val="both"/>
        <w:rPr>
          <w:rFonts w:ascii="Tahoma" w:hAnsi="Tahoma" w:cs="Tahoma"/>
        </w:rPr>
      </w:pPr>
      <w:r>
        <w:rPr>
          <w:rFonts w:ascii="Tahoma" w:hAnsi="Tahoma" w:cs="Tahoma"/>
        </w:rPr>
        <w:t>Pour autant l’</w:t>
      </w:r>
      <w:r w:rsidR="00A44ABB">
        <w:rPr>
          <w:rFonts w:ascii="Tahoma" w:hAnsi="Tahoma" w:cs="Tahoma"/>
        </w:rPr>
        <w:t>échec</w:t>
      </w:r>
      <w:r>
        <w:rPr>
          <w:rFonts w:ascii="Tahoma" w:hAnsi="Tahoma" w:cs="Tahoma"/>
        </w:rPr>
        <w:t xml:space="preserve"> de dépassement de 3.05 ne s’est pas traduit par un changement de tendance favorable à la baisse.</w:t>
      </w:r>
      <w:r w:rsidR="00F05CD8">
        <w:rPr>
          <w:rFonts w:ascii="Tahoma" w:hAnsi="Tahoma" w:cs="Tahoma"/>
        </w:rPr>
        <w:t xml:space="preserve"> </w:t>
      </w:r>
    </w:p>
    <w:p w:rsidR="00D2583B" w:rsidRDefault="00D2583B" w:rsidP="00D2583B">
      <w:pPr>
        <w:tabs>
          <w:tab w:val="left" w:pos="5868"/>
        </w:tabs>
        <w:autoSpaceDE w:val="0"/>
        <w:jc w:val="both"/>
        <w:rPr>
          <w:rFonts w:ascii="Tahoma" w:hAnsi="Tahoma" w:cs="Tahoma"/>
        </w:rPr>
      </w:pPr>
      <w:r>
        <w:rPr>
          <w:rFonts w:ascii="Tahoma" w:hAnsi="Tahoma" w:cs="Tahoma"/>
        </w:rPr>
        <w:t>Un début de remise en question de ce contexte passera par un retour de la LS sous son plat de nuage de 2.69.</w:t>
      </w:r>
    </w:p>
    <w:p w:rsidR="00D2583B" w:rsidRDefault="00D2583B" w:rsidP="00D2583B">
      <w:pPr>
        <w:tabs>
          <w:tab w:val="left" w:pos="5868"/>
        </w:tabs>
        <w:autoSpaceDE w:val="0"/>
        <w:jc w:val="both"/>
        <w:rPr>
          <w:rFonts w:ascii="Tahoma" w:hAnsi="Tahoma" w:cs="Tahoma"/>
        </w:rPr>
      </w:pPr>
      <w:r>
        <w:rPr>
          <w:rFonts w:ascii="Tahoma" w:hAnsi="Tahoma" w:cs="Tahoma"/>
        </w:rPr>
        <w:t xml:space="preserve">Les plats qui se développent sur cette unité de temps indiquent que le marché n’est plus en </w:t>
      </w:r>
      <w:r w:rsidR="00BA61B1">
        <w:rPr>
          <w:rFonts w:ascii="Tahoma" w:hAnsi="Tahoma" w:cs="Tahoma"/>
        </w:rPr>
        <w:t>tendance</w:t>
      </w:r>
      <w:r>
        <w:rPr>
          <w:rFonts w:ascii="Tahoma" w:hAnsi="Tahoma" w:cs="Tahoma"/>
        </w:rPr>
        <w:t xml:space="preserve">. </w:t>
      </w:r>
    </w:p>
    <w:p w:rsidR="00D2583B" w:rsidRDefault="00F05CD8" w:rsidP="00D2583B">
      <w:pPr>
        <w:tabs>
          <w:tab w:val="left" w:pos="5868"/>
        </w:tabs>
        <w:autoSpaceDE w:val="0"/>
        <w:jc w:val="both"/>
        <w:rPr>
          <w:rFonts w:ascii="Tahoma" w:hAnsi="Tahoma" w:cs="Tahoma"/>
        </w:rPr>
      </w:pPr>
      <w:r>
        <w:rPr>
          <w:rFonts w:ascii="Tahoma" w:hAnsi="Tahoma" w:cs="Tahoma"/>
        </w:rPr>
        <w:t>Un dépassement de 3.05 aura pour conséquence une hausse limitée dans un premier temps au plat de SSB de 3.67.</w:t>
      </w:r>
    </w:p>
    <w:p w:rsidR="00D2583B" w:rsidRDefault="00D2583B" w:rsidP="00D2583B">
      <w:pPr>
        <w:tabs>
          <w:tab w:val="left" w:pos="5868"/>
        </w:tabs>
        <w:autoSpaceDE w:val="0"/>
        <w:jc w:val="both"/>
        <w:rPr>
          <w:rFonts w:ascii="Tahoma" w:hAnsi="Tahoma" w:cs="Tahoma"/>
        </w:rPr>
      </w:pPr>
    </w:p>
    <w:p w:rsidR="00D2583B" w:rsidRDefault="00D2583B" w:rsidP="001259C9">
      <w:pPr>
        <w:jc w:val="both"/>
        <w:rPr>
          <w:rFonts w:ascii="Tahoma" w:hAnsi="Tahoma" w:cs="Tahoma"/>
          <w:bCs/>
        </w:rPr>
      </w:pPr>
      <w:bookmarkStart w:id="1" w:name="_Hlk510791573"/>
      <w:r w:rsidRPr="00F950A8">
        <w:rPr>
          <w:rFonts w:ascii="Arial" w:hAnsi="Arial" w:cs="Arial"/>
          <w:b/>
          <w:bCs/>
        </w:rPr>
        <w:t xml:space="preserve">W : </w:t>
      </w:r>
      <w:r w:rsidR="008E220D">
        <w:rPr>
          <w:rFonts w:ascii="Tahoma" w:hAnsi="Tahoma" w:cs="Tahoma"/>
          <w:bCs/>
        </w:rPr>
        <w:t>Les plats de développent sur le moyen terme. Ils renforcent l’idée que 3.05 est une résistance importante</w:t>
      </w:r>
      <w:r w:rsidR="00EE71A6">
        <w:rPr>
          <w:rFonts w:ascii="Tahoma" w:hAnsi="Tahoma" w:cs="Tahoma"/>
          <w:bCs/>
        </w:rPr>
        <w:t xml:space="preserve"> et que dans la configuration graphique actuelle, il y a peu de chance de la dépasser.</w:t>
      </w:r>
    </w:p>
    <w:p w:rsidR="00EE71A6" w:rsidRDefault="00EE71A6" w:rsidP="001259C9">
      <w:pPr>
        <w:jc w:val="both"/>
        <w:rPr>
          <w:rFonts w:ascii="Tahoma" w:hAnsi="Tahoma" w:cs="Tahoma"/>
          <w:bCs/>
        </w:rPr>
      </w:pPr>
      <w:r>
        <w:rPr>
          <w:rFonts w:ascii="Tahoma" w:hAnsi="Tahoma" w:cs="Tahoma"/>
          <w:bCs/>
        </w:rPr>
        <w:t>Quoi qu’il en soit, dans un environnement haussier, la TS servir</w:t>
      </w:r>
      <w:r w:rsidR="002E3C88">
        <w:rPr>
          <w:rFonts w:ascii="Tahoma" w:hAnsi="Tahoma" w:cs="Tahoma"/>
          <w:bCs/>
        </w:rPr>
        <w:t>a</w:t>
      </w:r>
      <w:r>
        <w:rPr>
          <w:rFonts w:ascii="Tahoma" w:hAnsi="Tahoma" w:cs="Tahoma"/>
          <w:bCs/>
        </w:rPr>
        <w:t xml:space="preserve"> de support. Elle sera plate sur la semaine sur 2.87. Un maintien du marché </w:t>
      </w:r>
      <w:r w:rsidR="00A44ABB">
        <w:rPr>
          <w:rFonts w:ascii="Tahoma" w:hAnsi="Tahoma" w:cs="Tahoma"/>
          <w:bCs/>
        </w:rPr>
        <w:t>au-dessus</w:t>
      </w:r>
      <w:r>
        <w:rPr>
          <w:rFonts w:ascii="Tahoma" w:hAnsi="Tahoma" w:cs="Tahoma"/>
          <w:bCs/>
        </w:rPr>
        <w:t xml:space="preserve"> de ce support permettra d’envisager de nouveaux tests de la résistance de 3.05. En cassure de 2.87, le taux sera attiré par le plat de KS de 2.67. Point à mettre en relation avec l’ancienne résistance de 2.63 du mois de </w:t>
      </w:r>
      <w:r w:rsidR="00A44ABB">
        <w:rPr>
          <w:rFonts w:ascii="Tahoma" w:hAnsi="Tahoma" w:cs="Tahoma"/>
          <w:bCs/>
        </w:rPr>
        <w:t>décembre</w:t>
      </w:r>
      <w:r>
        <w:rPr>
          <w:rFonts w:ascii="Tahoma" w:hAnsi="Tahoma" w:cs="Tahoma"/>
          <w:bCs/>
        </w:rPr>
        <w:t xml:space="preserve"> et de mars dernier.</w:t>
      </w:r>
    </w:p>
    <w:p w:rsidR="001259C9" w:rsidRPr="00934473" w:rsidRDefault="001259C9" w:rsidP="001259C9">
      <w:pPr>
        <w:jc w:val="both"/>
        <w:rPr>
          <w:rFonts w:ascii="Arial" w:hAnsi="Arial" w:cs="Arial"/>
          <w:b/>
          <w:bCs/>
          <w:sz w:val="28"/>
          <w:szCs w:val="28"/>
          <w:u w:val="single"/>
        </w:rPr>
      </w:pPr>
    </w:p>
    <w:p w:rsidR="006A1753" w:rsidRDefault="00CF7FF8" w:rsidP="001259C9">
      <w:pPr>
        <w:jc w:val="both"/>
        <w:rPr>
          <w:rFonts w:ascii="Tahoma" w:hAnsi="Tahoma" w:cs="Tahoma"/>
          <w:bCs/>
        </w:rPr>
      </w:pPr>
      <w:r w:rsidRPr="00F950A8">
        <w:rPr>
          <w:rFonts w:ascii="Arial" w:hAnsi="Arial" w:cs="Arial"/>
          <w:b/>
          <w:bCs/>
        </w:rPr>
        <w:t xml:space="preserve">D : </w:t>
      </w:r>
      <w:r w:rsidR="006C0FF6">
        <w:rPr>
          <w:rFonts w:ascii="Tahoma" w:hAnsi="Tahoma" w:cs="Tahoma"/>
          <w:bCs/>
        </w:rPr>
        <w:t>Le déve</w:t>
      </w:r>
      <w:r w:rsidR="00A44ABB">
        <w:rPr>
          <w:rFonts w:ascii="Tahoma" w:hAnsi="Tahoma" w:cs="Tahoma"/>
          <w:bCs/>
        </w:rPr>
        <w:t>lo</w:t>
      </w:r>
      <w:r w:rsidR="006C0FF6">
        <w:rPr>
          <w:rFonts w:ascii="Tahoma" w:hAnsi="Tahoma" w:cs="Tahoma"/>
          <w:bCs/>
        </w:rPr>
        <w:t xml:space="preserve">ppement de court terme indique que le marché n’est pas en tendance. Même si le contexte est toujours haussier, le taux consolide entre </w:t>
      </w:r>
      <w:r w:rsidR="001E4E26">
        <w:rPr>
          <w:rFonts w:ascii="Tahoma" w:hAnsi="Tahoma" w:cs="Tahoma"/>
          <w:bCs/>
        </w:rPr>
        <w:t xml:space="preserve">un bas de 2.90 et un haut </w:t>
      </w:r>
      <w:r w:rsidR="002D3EC9">
        <w:rPr>
          <w:rFonts w:ascii="Tahoma" w:hAnsi="Tahoma" w:cs="Tahoma"/>
          <w:bCs/>
        </w:rPr>
        <w:t>sur</w:t>
      </w:r>
      <w:r w:rsidR="001E4E26">
        <w:rPr>
          <w:rFonts w:ascii="Tahoma" w:hAnsi="Tahoma" w:cs="Tahoma"/>
          <w:bCs/>
        </w:rPr>
        <w:t xml:space="preserve"> 3.03.</w:t>
      </w:r>
    </w:p>
    <w:p w:rsidR="002D3EC9" w:rsidRPr="00F950A8" w:rsidRDefault="002D3EC9" w:rsidP="001259C9">
      <w:pPr>
        <w:jc w:val="both"/>
        <w:rPr>
          <w:rFonts w:ascii="Tahoma" w:hAnsi="Tahoma" w:cs="Tahoma"/>
          <w:bCs/>
        </w:rPr>
      </w:pPr>
      <w:r>
        <w:rPr>
          <w:rFonts w:ascii="Tahoma" w:hAnsi="Tahoma" w:cs="Tahoma"/>
          <w:bCs/>
        </w:rPr>
        <w:lastRenderedPageBreak/>
        <w:t xml:space="preserve">Une </w:t>
      </w:r>
      <w:r w:rsidR="00A44ABB">
        <w:rPr>
          <w:rFonts w:ascii="Tahoma" w:hAnsi="Tahoma" w:cs="Tahoma"/>
          <w:bCs/>
        </w:rPr>
        <w:t>clôture</w:t>
      </w:r>
      <w:r>
        <w:rPr>
          <w:rFonts w:ascii="Tahoma" w:hAnsi="Tahoma" w:cs="Tahoma"/>
          <w:bCs/>
        </w:rPr>
        <w:t xml:space="preserve"> fin de semaine sous 2.79 sera interprétée comme une alerte baissière. Mais il faudra attendre le retour de la LS (qui reprend les </w:t>
      </w:r>
      <w:r w:rsidR="00A44ABB">
        <w:rPr>
          <w:rFonts w:ascii="Tahoma" w:hAnsi="Tahoma" w:cs="Tahoma"/>
          <w:bCs/>
        </w:rPr>
        <w:t>clôtures</w:t>
      </w:r>
      <w:r>
        <w:rPr>
          <w:rFonts w:ascii="Tahoma" w:hAnsi="Tahoma" w:cs="Tahoma"/>
          <w:bCs/>
        </w:rPr>
        <w:t xml:space="preserve">) sous 2.64 pour confirmer cette alerte et placer cette unité de temps dans un environnement baissier. </w:t>
      </w:r>
    </w:p>
    <w:bookmarkEnd w:id="1"/>
    <w:p w:rsidR="0093766C" w:rsidRPr="006E6472" w:rsidRDefault="00CF7FF8" w:rsidP="006E6472">
      <w:pPr>
        <w:jc w:val="both"/>
        <w:rPr>
          <w:rFonts w:ascii="Tahoma" w:hAnsi="Tahoma" w:cs="Tahoma"/>
          <w:bCs/>
        </w:rPr>
      </w:pPr>
      <w:r w:rsidRPr="00F950A8">
        <w:rPr>
          <w:rFonts w:ascii="Tahoma" w:hAnsi="Tahoma" w:cs="Tahoma"/>
          <w:bCs/>
        </w:rPr>
        <w:t xml:space="preserve">  </w:t>
      </w:r>
    </w:p>
    <w:p w:rsidR="009925DF" w:rsidRDefault="00F72829" w:rsidP="00D43DAB">
      <w:pPr>
        <w:jc w:val="both"/>
        <w:rPr>
          <w:rFonts w:ascii="Arial" w:hAnsi="Arial" w:cs="Arial"/>
          <w:b/>
          <w:bCs/>
          <w:color w:val="FF0000"/>
          <w:sz w:val="28"/>
          <w:szCs w:val="28"/>
        </w:rPr>
      </w:pPr>
      <w:r w:rsidRPr="00D15C83">
        <w:rPr>
          <w:rFonts w:ascii="Arial" w:hAnsi="Arial" w:cs="Arial"/>
          <w:b/>
          <w:color w:val="00B050"/>
          <w:u w:val="single"/>
        </w:rPr>
        <w:t>HEBDOMADAIRE</w:t>
      </w:r>
      <w:r w:rsidRPr="00D15C83">
        <w:rPr>
          <w:rFonts w:ascii="Arial" w:hAnsi="Arial" w:cs="Arial"/>
          <w:b/>
          <w:color w:val="00B050"/>
        </w:rPr>
        <w:t xml:space="preserve"> : </w:t>
      </w:r>
      <w:r w:rsidR="00C014A3" w:rsidRPr="00D15C83">
        <w:rPr>
          <w:rFonts w:ascii="Arial" w:hAnsi="Arial" w:cs="Arial"/>
          <w:b/>
          <w:color w:val="00B050"/>
        </w:rPr>
        <w:t>L</w:t>
      </w:r>
      <w:r w:rsidR="00C856C1">
        <w:rPr>
          <w:rFonts w:ascii="Arial" w:hAnsi="Arial" w:cs="Arial"/>
          <w:b/>
          <w:color w:val="00B050"/>
        </w:rPr>
        <w:t xml:space="preserve">’échec de cassure de la résistance de 3.05 ne s’est pas </w:t>
      </w:r>
      <w:r w:rsidR="00A44ABB">
        <w:rPr>
          <w:rFonts w:ascii="Arial" w:hAnsi="Arial" w:cs="Arial"/>
          <w:b/>
          <w:color w:val="00B050"/>
        </w:rPr>
        <w:t>transformé</w:t>
      </w:r>
      <w:r w:rsidR="00C856C1">
        <w:rPr>
          <w:rFonts w:ascii="Arial" w:hAnsi="Arial" w:cs="Arial"/>
          <w:b/>
          <w:color w:val="00B050"/>
        </w:rPr>
        <w:t xml:space="preserve"> en changement de tendance favorable à la baisse. Un maintien du 10 ans US </w:t>
      </w:r>
      <w:r w:rsidR="00A44ABB">
        <w:rPr>
          <w:rFonts w:ascii="Arial" w:hAnsi="Arial" w:cs="Arial"/>
          <w:b/>
          <w:color w:val="00B050"/>
        </w:rPr>
        <w:t>au-dessus</w:t>
      </w:r>
      <w:r w:rsidR="00C856C1">
        <w:rPr>
          <w:rFonts w:ascii="Arial" w:hAnsi="Arial" w:cs="Arial"/>
          <w:b/>
          <w:color w:val="00B050"/>
        </w:rPr>
        <w:t xml:space="preserve"> de 2.87 permettra d’envisager de nouveaux tests de la résistance. </w:t>
      </w:r>
      <w:r w:rsidR="00A44ABB">
        <w:rPr>
          <w:rFonts w:ascii="Arial" w:hAnsi="Arial" w:cs="Arial"/>
          <w:b/>
          <w:color w:val="00B050"/>
        </w:rPr>
        <w:t>Seul le passage</w:t>
      </w:r>
      <w:r w:rsidR="00C856C1">
        <w:rPr>
          <w:rFonts w:ascii="Arial" w:hAnsi="Arial" w:cs="Arial"/>
          <w:b/>
          <w:color w:val="00B050"/>
        </w:rPr>
        <w:t xml:space="preserve"> de 2.64 indiquera que la baisse commence à </w:t>
      </w:r>
      <w:r w:rsidR="00385F69">
        <w:rPr>
          <w:rFonts w:ascii="Arial" w:hAnsi="Arial" w:cs="Arial"/>
          <w:b/>
          <w:color w:val="00B050"/>
        </w:rPr>
        <w:t>re</w:t>
      </w:r>
      <w:r w:rsidR="00C856C1">
        <w:rPr>
          <w:rFonts w:ascii="Arial" w:hAnsi="Arial" w:cs="Arial"/>
          <w:b/>
          <w:color w:val="00B050"/>
        </w:rPr>
        <w:t xml:space="preserve">prendre </w:t>
      </w:r>
      <w:r w:rsidR="00385F69">
        <w:rPr>
          <w:rFonts w:ascii="Arial" w:hAnsi="Arial" w:cs="Arial"/>
          <w:b/>
          <w:color w:val="00B050"/>
        </w:rPr>
        <w:t>l’avantage</w:t>
      </w:r>
      <w:r w:rsidR="00C856C1">
        <w:rPr>
          <w:rFonts w:ascii="Arial" w:hAnsi="Arial" w:cs="Arial"/>
          <w:b/>
          <w:color w:val="00B050"/>
        </w:rPr>
        <w:t>.</w:t>
      </w:r>
      <w:r w:rsidR="00C014A3" w:rsidRPr="00D15C83">
        <w:rPr>
          <w:rFonts w:ascii="Arial" w:hAnsi="Arial" w:cs="Arial"/>
          <w:b/>
          <w:color w:val="00B050"/>
        </w:rPr>
        <w:t xml:space="preserve"> </w:t>
      </w:r>
    </w:p>
    <w:p w:rsidR="002000EA" w:rsidRDefault="002000EA" w:rsidP="00D43DAB">
      <w:pPr>
        <w:jc w:val="both"/>
        <w:rPr>
          <w:rFonts w:ascii="Arial" w:hAnsi="Arial" w:cs="Arial"/>
          <w:b/>
          <w:bCs/>
          <w:color w:val="FF0000"/>
          <w:sz w:val="28"/>
          <w:szCs w:val="28"/>
        </w:rPr>
      </w:pPr>
    </w:p>
    <w:p w:rsidR="002000EA" w:rsidRDefault="002000EA" w:rsidP="00D43DAB">
      <w:pPr>
        <w:jc w:val="both"/>
        <w:rPr>
          <w:rFonts w:ascii="Arial" w:hAnsi="Arial" w:cs="Arial"/>
          <w:b/>
          <w:bCs/>
          <w:color w:val="FF0000"/>
          <w:sz w:val="28"/>
          <w:szCs w:val="28"/>
        </w:rPr>
      </w:pPr>
    </w:p>
    <w:p w:rsidR="00A34C8C" w:rsidRDefault="00A34C8C" w:rsidP="00D43DAB">
      <w:pPr>
        <w:jc w:val="both"/>
        <w:rPr>
          <w:rFonts w:ascii="Arial" w:hAnsi="Arial" w:cs="Arial"/>
          <w:b/>
          <w:bCs/>
          <w:color w:val="FF0000"/>
          <w:sz w:val="28"/>
          <w:szCs w:val="28"/>
        </w:rPr>
      </w:pPr>
    </w:p>
    <w:p w:rsidR="00A34C8C" w:rsidRDefault="00A34C8C" w:rsidP="00D43DAB">
      <w:pPr>
        <w:jc w:val="both"/>
        <w:rPr>
          <w:rFonts w:ascii="Arial" w:hAnsi="Arial" w:cs="Arial"/>
          <w:b/>
          <w:bCs/>
          <w:color w:val="FF0000"/>
          <w:sz w:val="28"/>
          <w:szCs w:val="28"/>
        </w:rPr>
      </w:pPr>
    </w:p>
    <w:p w:rsidR="00A34C8C" w:rsidRDefault="00A34C8C"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0EF5" w:rsidRDefault="00A30EF5" w:rsidP="00D43DAB">
      <w:pPr>
        <w:jc w:val="both"/>
        <w:rPr>
          <w:rFonts w:ascii="Arial" w:hAnsi="Arial" w:cs="Arial"/>
          <w:b/>
          <w:bCs/>
          <w:color w:val="FF0000"/>
          <w:sz w:val="28"/>
          <w:szCs w:val="28"/>
        </w:rPr>
      </w:pPr>
    </w:p>
    <w:p w:rsidR="00A34C8C" w:rsidRPr="00C014A3" w:rsidRDefault="00A34C8C" w:rsidP="00D43DAB">
      <w:pPr>
        <w:jc w:val="both"/>
        <w:rPr>
          <w:rFonts w:ascii="Arial" w:hAnsi="Arial" w:cs="Arial"/>
          <w:b/>
          <w:bCs/>
          <w:color w:val="FF0000"/>
          <w:sz w:val="28"/>
          <w:szCs w:val="28"/>
        </w:rPr>
      </w:pPr>
    </w:p>
    <w:p w:rsidR="00D43DAB" w:rsidRPr="00415641" w:rsidRDefault="00D43DAB" w:rsidP="00D43DAB">
      <w:pPr>
        <w:jc w:val="both"/>
        <w:rPr>
          <w:rFonts w:ascii="Arial" w:hAnsi="Arial" w:cs="Arial"/>
          <w:b/>
          <w:bCs/>
          <w:sz w:val="36"/>
          <w:szCs w:val="36"/>
          <w:u w:val="single"/>
          <w:lang w:val="en-US"/>
        </w:rPr>
      </w:pPr>
      <w:r w:rsidRPr="00C014A3">
        <w:rPr>
          <w:rFonts w:ascii="Arial" w:hAnsi="Arial" w:cs="Arial"/>
          <w:b/>
          <w:bCs/>
          <w:sz w:val="36"/>
          <w:szCs w:val="36"/>
        </w:rPr>
        <w:lastRenderedPageBreak/>
        <w:t xml:space="preserve">     </w:t>
      </w:r>
      <w:r w:rsidR="00292AF0" w:rsidRPr="00C014A3">
        <w:rPr>
          <w:rFonts w:ascii="Arial" w:hAnsi="Arial" w:cs="Arial"/>
          <w:b/>
          <w:bCs/>
          <w:sz w:val="36"/>
          <w:szCs w:val="36"/>
        </w:rPr>
        <w:t xml:space="preserve">                       </w:t>
      </w:r>
      <w:r w:rsidRPr="00C014A3">
        <w:rPr>
          <w:rFonts w:ascii="Arial" w:hAnsi="Arial" w:cs="Arial"/>
          <w:b/>
          <w:bCs/>
          <w:sz w:val="36"/>
          <w:szCs w:val="36"/>
        </w:rPr>
        <w:t xml:space="preserve"> </w:t>
      </w:r>
      <w:r w:rsidRPr="00415641">
        <w:rPr>
          <w:rFonts w:ascii="Arial" w:hAnsi="Arial" w:cs="Arial"/>
          <w:b/>
          <w:bCs/>
          <w:sz w:val="36"/>
          <w:szCs w:val="36"/>
          <w:u w:val="single"/>
          <w:lang w:val="en-US"/>
        </w:rPr>
        <w:t xml:space="preserve">10 ans UK </w:t>
      </w:r>
    </w:p>
    <w:p w:rsidR="006E6472" w:rsidRPr="00415641" w:rsidRDefault="006E6472" w:rsidP="006E6472">
      <w:pPr>
        <w:jc w:val="both"/>
        <w:rPr>
          <w:rFonts w:ascii="Arial" w:hAnsi="Arial" w:cs="Arial"/>
          <w:b/>
          <w:sz w:val="28"/>
          <w:szCs w:val="28"/>
          <w:u w:val="single"/>
          <w:lang w:val="en-US"/>
        </w:rPr>
      </w:pPr>
      <w:r w:rsidRPr="00415641">
        <w:rPr>
          <w:rFonts w:ascii="Arial" w:hAnsi="Arial" w:cs="Arial"/>
          <w:b/>
          <w:sz w:val="28"/>
          <w:szCs w:val="28"/>
          <w:u w:val="single"/>
          <w:lang w:val="en-US"/>
        </w:rPr>
        <w:t>Monthly</w:t>
      </w:r>
    </w:p>
    <w:p w:rsidR="006E6472" w:rsidRPr="00415641" w:rsidRDefault="004A5B07" w:rsidP="006E6472">
      <w:pPr>
        <w:ind w:left="-850"/>
        <w:jc w:val="both"/>
        <w:rPr>
          <w:rFonts w:ascii="Arial" w:hAnsi="Arial" w:cs="Arial"/>
          <w:b/>
          <w:bCs/>
          <w:lang w:val="en-US"/>
        </w:rPr>
      </w:pPr>
      <w:r>
        <w:rPr>
          <w:rFonts w:ascii="Arial" w:hAnsi="Arial" w:cs="Arial"/>
          <w:b/>
          <w:bCs/>
          <w:noProof/>
        </w:rPr>
        <w:drawing>
          <wp:inline distT="0" distB="0" distL="0" distR="0">
            <wp:extent cx="6743700" cy="4130040"/>
            <wp:effectExtent l="0" t="0" r="0" b="3810"/>
            <wp:docPr id="10" name="Image 10" descr="C:\Temp\Bloomberg\temp\bfm570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Temp\Bloomberg\temp\bfm5706.b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44329" cy="4130425"/>
                    </a:xfrm>
                    <a:prstGeom prst="rect">
                      <a:avLst/>
                    </a:prstGeom>
                    <a:noFill/>
                    <a:ln>
                      <a:noFill/>
                    </a:ln>
                  </pic:spPr>
                </pic:pic>
              </a:graphicData>
            </a:graphic>
          </wp:inline>
        </w:drawing>
      </w:r>
    </w:p>
    <w:p w:rsidR="00D43DAB" w:rsidRPr="00415641" w:rsidRDefault="00D43DAB" w:rsidP="00D43DAB">
      <w:pPr>
        <w:jc w:val="both"/>
        <w:rPr>
          <w:rFonts w:ascii="Arial" w:hAnsi="Arial" w:cs="Arial"/>
          <w:b/>
          <w:bCs/>
          <w:sz w:val="28"/>
          <w:szCs w:val="28"/>
          <w:u w:val="single"/>
          <w:lang w:val="en-US"/>
        </w:rPr>
      </w:pPr>
      <w:r w:rsidRPr="00415641">
        <w:rPr>
          <w:rFonts w:ascii="Arial" w:hAnsi="Arial" w:cs="Arial"/>
          <w:b/>
          <w:bCs/>
          <w:sz w:val="28"/>
          <w:szCs w:val="28"/>
          <w:u w:val="single"/>
          <w:lang w:val="en-US"/>
        </w:rPr>
        <w:t>Weekly</w:t>
      </w:r>
    </w:p>
    <w:p w:rsidR="00D43DAB" w:rsidRPr="00415641" w:rsidRDefault="004A5B07" w:rsidP="00D43DAB">
      <w:pPr>
        <w:tabs>
          <w:tab w:val="left" w:pos="4395"/>
        </w:tabs>
        <w:ind w:left="-850"/>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720001" cy="3832860"/>
            <wp:effectExtent l="0" t="0" r="5080" b="0"/>
            <wp:docPr id="11" name="Image 11" descr="C:\Temp\Bloomberg\temp\bfmC82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Temp\Bloomberg\temp\bfmC822.b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14695" cy="3829833"/>
                    </a:xfrm>
                    <a:prstGeom prst="rect">
                      <a:avLst/>
                    </a:prstGeom>
                    <a:noFill/>
                    <a:ln>
                      <a:noFill/>
                    </a:ln>
                  </pic:spPr>
                </pic:pic>
              </a:graphicData>
            </a:graphic>
          </wp:inline>
        </w:drawing>
      </w:r>
    </w:p>
    <w:p w:rsidR="006E6472" w:rsidRPr="00415641" w:rsidRDefault="006E6472" w:rsidP="006E6472">
      <w:pPr>
        <w:jc w:val="both"/>
        <w:rPr>
          <w:rFonts w:ascii="Arial" w:hAnsi="Arial" w:cs="Arial"/>
          <w:b/>
          <w:bCs/>
          <w:sz w:val="28"/>
          <w:szCs w:val="28"/>
          <w:u w:val="single"/>
          <w:lang w:val="en-US"/>
        </w:rPr>
      </w:pPr>
      <w:r w:rsidRPr="00415641">
        <w:rPr>
          <w:rFonts w:ascii="Arial" w:hAnsi="Arial" w:cs="Arial"/>
          <w:b/>
          <w:bCs/>
          <w:sz w:val="28"/>
          <w:szCs w:val="28"/>
          <w:u w:val="single"/>
          <w:lang w:val="en-US"/>
        </w:rPr>
        <w:lastRenderedPageBreak/>
        <w:t xml:space="preserve">Daily </w:t>
      </w:r>
    </w:p>
    <w:p w:rsidR="00AD7F6F" w:rsidRDefault="004A5B07" w:rsidP="006E6472">
      <w:pPr>
        <w:ind w:left="-850"/>
        <w:jc w:val="both"/>
        <w:rPr>
          <w:rFonts w:ascii="Arial" w:hAnsi="Arial" w:cs="Arial"/>
          <w:b/>
          <w:bCs/>
          <w:sz w:val="28"/>
          <w:szCs w:val="28"/>
          <w:u w:val="single"/>
          <w:lang w:val="en-US"/>
        </w:rPr>
      </w:pPr>
      <w:r>
        <w:rPr>
          <w:rFonts w:ascii="Arial" w:hAnsi="Arial" w:cs="Arial"/>
          <w:b/>
          <w:bCs/>
          <w:noProof/>
          <w:sz w:val="28"/>
          <w:szCs w:val="28"/>
          <w:u w:val="single"/>
        </w:rPr>
        <w:drawing>
          <wp:inline distT="0" distB="0" distL="0" distR="0">
            <wp:extent cx="6789420" cy="4135001"/>
            <wp:effectExtent l="0" t="0" r="0" b="0"/>
            <wp:docPr id="12" name="Image 12" descr="C:\Temp\Bloomberg\temp\bfm787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Temp\Bloomberg\temp\bfm787D.b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81906" cy="4130425"/>
                    </a:xfrm>
                    <a:prstGeom prst="rect">
                      <a:avLst/>
                    </a:prstGeom>
                    <a:noFill/>
                    <a:ln>
                      <a:noFill/>
                    </a:ln>
                  </pic:spPr>
                </pic:pic>
              </a:graphicData>
            </a:graphic>
          </wp:inline>
        </w:drawing>
      </w:r>
    </w:p>
    <w:p w:rsidR="00A30EF5" w:rsidRPr="00415641" w:rsidRDefault="00A30EF5" w:rsidP="006E6472">
      <w:pPr>
        <w:ind w:left="-850"/>
        <w:jc w:val="both"/>
        <w:rPr>
          <w:rFonts w:ascii="Arial" w:hAnsi="Arial" w:cs="Arial"/>
          <w:b/>
          <w:bCs/>
          <w:sz w:val="28"/>
          <w:szCs w:val="28"/>
          <w:u w:val="single"/>
          <w:lang w:val="en-US"/>
        </w:rPr>
      </w:pPr>
    </w:p>
    <w:p w:rsidR="009F1AF9" w:rsidRDefault="005530C2" w:rsidP="001B1B61">
      <w:pPr>
        <w:jc w:val="both"/>
        <w:rPr>
          <w:rFonts w:ascii="Tahoma" w:hAnsi="Tahoma" w:cs="Tahoma"/>
          <w:bCs/>
        </w:rPr>
      </w:pPr>
      <w:r w:rsidRPr="001B1B61">
        <w:rPr>
          <w:rFonts w:ascii="Arial" w:hAnsi="Arial" w:cs="Arial"/>
          <w:b/>
          <w:bCs/>
        </w:rPr>
        <w:t>M :</w:t>
      </w:r>
      <w:r w:rsidRPr="001B1B61">
        <w:rPr>
          <w:rFonts w:ascii="Tahoma" w:hAnsi="Tahoma" w:cs="Tahoma"/>
          <w:bCs/>
        </w:rPr>
        <w:t xml:space="preserve"> </w:t>
      </w:r>
      <w:r w:rsidR="009F1AF9">
        <w:rPr>
          <w:rFonts w:ascii="Tahoma" w:hAnsi="Tahoma" w:cs="Tahoma"/>
          <w:bCs/>
        </w:rPr>
        <w:t>Après un haut sur 1.69, l</w:t>
      </w:r>
      <w:r w:rsidR="001B1B61">
        <w:rPr>
          <w:rFonts w:ascii="Tahoma" w:hAnsi="Tahoma" w:cs="Tahoma"/>
          <w:bCs/>
        </w:rPr>
        <w:t xml:space="preserve">a </w:t>
      </w:r>
      <w:r w:rsidR="001758CA">
        <w:rPr>
          <w:rFonts w:ascii="Tahoma" w:hAnsi="Tahoma" w:cs="Tahoma"/>
          <w:bCs/>
        </w:rPr>
        <w:t>clôture</w:t>
      </w:r>
      <w:r w:rsidR="001B1B61">
        <w:rPr>
          <w:rFonts w:ascii="Tahoma" w:hAnsi="Tahoma" w:cs="Tahoma"/>
          <w:bCs/>
        </w:rPr>
        <w:t xml:space="preserve"> du mois de février </w:t>
      </w:r>
      <w:r w:rsidR="009F1AF9">
        <w:rPr>
          <w:rFonts w:ascii="Tahoma" w:hAnsi="Tahoma" w:cs="Tahoma"/>
          <w:bCs/>
        </w:rPr>
        <w:t>résultait d’un sentiment d’</w:t>
      </w:r>
      <w:r w:rsidR="001B1B61">
        <w:rPr>
          <w:rFonts w:ascii="Tahoma" w:hAnsi="Tahoma" w:cs="Tahoma"/>
          <w:bCs/>
        </w:rPr>
        <w:t>indécision.</w:t>
      </w:r>
      <w:r w:rsidR="009F1AF9">
        <w:rPr>
          <w:rFonts w:ascii="Tahoma" w:hAnsi="Tahoma" w:cs="Tahoma"/>
          <w:bCs/>
        </w:rPr>
        <w:t xml:space="preserve"> Face à cette </w:t>
      </w:r>
      <w:r w:rsidR="002078BB">
        <w:rPr>
          <w:rFonts w:ascii="Tahoma" w:hAnsi="Tahoma" w:cs="Tahoma"/>
          <w:bCs/>
        </w:rPr>
        <w:t>hésitation</w:t>
      </w:r>
      <w:r w:rsidR="009F1AF9">
        <w:rPr>
          <w:rFonts w:ascii="Tahoma" w:hAnsi="Tahoma" w:cs="Tahoma"/>
          <w:bCs/>
        </w:rPr>
        <w:t>, le plat de TS sur 1.32 a limité le mouvement de baisse découlant de l’absence de conviction.</w:t>
      </w:r>
    </w:p>
    <w:p w:rsidR="009F1AF9" w:rsidRDefault="009F1AF9" w:rsidP="001B1B61">
      <w:pPr>
        <w:jc w:val="both"/>
        <w:rPr>
          <w:rFonts w:ascii="Tahoma" w:hAnsi="Tahoma" w:cs="Tahoma"/>
          <w:bCs/>
        </w:rPr>
      </w:pPr>
      <w:r>
        <w:rPr>
          <w:rFonts w:ascii="Tahoma" w:hAnsi="Tahoma" w:cs="Tahoma"/>
          <w:bCs/>
        </w:rPr>
        <w:t>Le contexte est toujours baissier sur cette unité de temps mais le taux consolide sous ses nombreuses résistances. Le plat de KS de 1.09 limite le potentiel de baisse du 10 ans UK. Il servira de support dans un premier temps et de force</w:t>
      </w:r>
      <w:r w:rsidR="00A34C8C">
        <w:rPr>
          <w:rFonts w:ascii="Tahoma" w:hAnsi="Tahoma" w:cs="Tahoma"/>
          <w:bCs/>
        </w:rPr>
        <w:t xml:space="preserve"> de rappel dans un second temps en cassure de 1.32.</w:t>
      </w:r>
    </w:p>
    <w:p w:rsidR="00194BF8" w:rsidRDefault="0096003D" w:rsidP="001B1B61">
      <w:pPr>
        <w:jc w:val="both"/>
        <w:rPr>
          <w:rFonts w:ascii="Tahoma" w:hAnsi="Tahoma" w:cs="Tahoma"/>
          <w:bCs/>
        </w:rPr>
      </w:pPr>
      <w:r>
        <w:rPr>
          <w:rFonts w:ascii="Tahoma" w:hAnsi="Tahoma" w:cs="Tahoma"/>
          <w:bCs/>
        </w:rPr>
        <w:t xml:space="preserve">Le maintien du taux </w:t>
      </w:r>
      <w:r w:rsidR="002078BB">
        <w:rPr>
          <w:rFonts w:ascii="Tahoma" w:hAnsi="Tahoma" w:cs="Tahoma"/>
          <w:bCs/>
        </w:rPr>
        <w:t>au-dessus</w:t>
      </w:r>
      <w:r>
        <w:rPr>
          <w:rFonts w:ascii="Tahoma" w:hAnsi="Tahoma" w:cs="Tahoma"/>
          <w:bCs/>
        </w:rPr>
        <w:t xml:space="preserve"> de 1.32 permettra d’envisager une hausse limitée au précédent sommet de 1.69.</w:t>
      </w:r>
    </w:p>
    <w:p w:rsidR="0096003D" w:rsidRPr="001B1B61" w:rsidRDefault="0096003D" w:rsidP="001B1B61">
      <w:pPr>
        <w:jc w:val="both"/>
        <w:rPr>
          <w:rFonts w:ascii="Tahoma" w:hAnsi="Tahoma" w:cs="Tahoma"/>
          <w:bCs/>
        </w:rPr>
      </w:pPr>
    </w:p>
    <w:p w:rsidR="00134724" w:rsidRDefault="00134724" w:rsidP="00134724">
      <w:pPr>
        <w:jc w:val="both"/>
        <w:rPr>
          <w:rFonts w:ascii="Tahoma" w:hAnsi="Tahoma" w:cs="Tahoma"/>
          <w:bCs/>
        </w:rPr>
      </w:pPr>
      <w:r w:rsidRPr="00F950A8">
        <w:rPr>
          <w:rFonts w:ascii="Arial" w:hAnsi="Arial" w:cs="Arial"/>
          <w:b/>
          <w:bCs/>
        </w:rPr>
        <w:t xml:space="preserve">W : </w:t>
      </w:r>
      <w:r w:rsidR="00592CE7">
        <w:rPr>
          <w:rFonts w:ascii="Tahoma" w:hAnsi="Tahoma" w:cs="Tahoma"/>
          <w:bCs/>
        </w:rPr>
        <w:t xml:space="preserve">TS et KS se sont aplaties sur le moyen terme. La forme de ces courbes </w:t>
      </w:r>
      <w:r w:rsidR="000412FF">
        <w:rPr>
          <w:rFonts w:ascii="Tahoma" w:hAnsi="Tahoma" w:cs="Tahoma"/>
          <w:bCs/>
        </w:rPr>
        <w:t>indique</w:t>
      </w:r>
      <w:r w:rsidR="00592CE7">
        <w:rPr>
          <w:rFonts w:ascii="Tahoma" w:hAnsi="Tahoma" w:cs="Tahoma"/>
          <w:bCs/>
        </w:rPr>
        <w:t xml:space="preserve"> que le marché n’est pas en tendance sur cette unité de temps. Etant proches l’une de l’autre, elles formeront pour la semaine une zone de résistance comprise entre 1.42 et 1.45.</w:t>
      </w:r>
    </w:p>
    <w:p w:rsidR="00592CE7" w:rsidRDefault="00592CE7" w:rsidP="00134724">
      <w:pPr>
        <w:jc w:val="both"/>
        <w:rPr>
          <w:rFonts w:ascii="Tahoma" w:hAnsi="Tahoma" w:cs="Tahoma"/>
          <w:bCs/>
        </w:rPr>
      </w:pPr>
      <w:r>
        <w:rPr>
          <w:rFonts w:ascii="Tahoma" w:hAnsi="Tahoma" w:cs="Tahoma"/>
          <w:bCs/>
        </w:rPr>
        <w:t>Le dépassement de cette zone permettra d’envisager le test de la résistance de 1.69 ou du support de 1.32.</w:t>
      </w:r>
    </w:p>
    <w:p w:rsidR="00592CE7" w:rsidRPr="00934473" w:rsidRDefault="00592CE7" w:rsidP="00134724">
      <w:pPr>
        <w:jc w:val="both"/>
        <w:rPr>
          <w:rFonts w:ascii="Arial" w:hAnsi="Arial" w:cs="Arial"/>
          <w:b/>
          <w:bCs/>
          <w:sz w:val="28"/>
          <w:szCs w:val="28"/>
          <w:u w:val="single"/>
        </w:rPr>
      </w:pPr>
    </w:p>
    <w:p w:rsidR="00134724" w:rsidRDefault="00134724" w:rsidP="001259C9">
      <w:pPr>
        <w:jc w:val="both"/>
        <w:rPr>
          <w:rFonts w:ascii="Tahoma" w:hAnsi="Tahoma" w:cs="Tahoma"/>
          <w:bCs/>
        </w:rPr>
      </w:pPr>
      <w:r w:rsidRPr="00F950A8">
        <w:rPr>
          <w:rFonts w:ascii="Arial" w:hAnsi="Arial" w:cs="Arial"/>
          <w:b/>
          <w:bCs/>
        </w:rPr>
        <w:t xml:space="preserve">D : </w:t>
      </w:r>
      <w:r w:rsidR="009435E0">
        <w:rPr>
          <w:rFonts w:ascii="Tahoma" w:hAnsi="Tahoma" w:cs="Tahoma"/>
          <w:bCs/>
        </w:rPr>
        <w:t>Sur le court terme, le marché évolue entre une résistance dessinée sur 1.55 et un support qui reprend les précédents bas de 1.35.</w:t>
      </w:r>
    </w:p>
    <w:p w:rsidR="00FF1FC8" w:rsidRDefault="00FF1FC8" w:rsidP="001259C9">
      <w:pPr>
        <w:jc w:val="both"/>
        <w:rPr>
          <w:rFonts w:ascii="Tahoma" w:hAnsi="Tahoma" w:cs="Tahoma"/>
          <w:bCs/>
        </w:rPr>
      </w:pPr>
      <w:r>
        <w:rPr>
          <w:rFonts w:ascii="Tahoma" w:hAnsi="Tahoma" w:cs="Tahoma"/>
          <w:bCs/>
        </w:rPr>
        <w:t>Entre ces points, la KS se stabilisera sur 1.46 pour servir de pivot et envisager en dépassement soit un retour sur la résistance, soit une baisse sur le support.</w:t>
      </w:r>
    </w:p>
    <w:p w:rsidR="00FF1FC8" w:rsidRPr="00F950A8" w:rsidRDefault="00040784" w:rsidP="001259C9">
      <w:pPr>
        <w:jc w:val="both"/>
        <w:rPr>
          <w:rFonts w:ascii="Tahoma" w:hAnsi="Tahoma" w:cs="Tahoma"/>
          <w:bCs/>
        </w:rPr>
      </w:pPr>
      <w:r>
        <w:rPr>
          <w:rFonts w:ascii="Tahoma" w:hAnsi="Tahoma" w:cs="Tahoma"/>
          <w:bCs/>
        </w:rPr>
        <w:t xml:space="preserve">Une cassure apportera au marché une certaine </w:t>
      </w:r>
      <w:r w:rsidR="00F8107B">
        <w:rPr>
          <w:rFonts w:ascii="Tahoma" w:hAnsi="Tahoma" w:cs="Tahoma"/>
          <w:bCs/>
        </w:rPr>
        <w:t xml:space="preserve">dynamique pour l’amener alors sur les points évoqués sur le long terme à savoir 1.09 et 1.69. </w:t>
      </w:r>
    </w:p>
    <w:p w:rsidR="009435E0" w:rsidRDefault="009435E0" w:rsidP="005530C2">
      <w:pPr>
        <w:jc w:val="both"/>
        <w:rPr>
          <w:rFonts w:ascii="Arial" w:hAnsi="Arial" w:cs="Arial"/>
          <w:color w:val="FF0000"/>
        </w:rPr>
      </w:pPr>
    </w:p>
    <w:p w:rsidR="009435E0" w:rsidRPr="00C955D5" w:rsidRDefault="009435E0" w:rsidP="005530C2">
      <w:pPr>
        <w:jc w:val="both"/>
        <w:rPr>
          <w:rFonts w:ascii="Arial" w:hAnsi="Arial" w:cs="Arial"/>
          <w:color w:val="FF0000"/>
        </w:rPr>
      </w:pPr>
    </w:p>
    <w:p w:rsidR="00E53824" w:rsidRPr="004A2C42" w:rsidRDefault="005530C2" w:rsidP="001259C9">
      <w:pPr>
        <w:jc w:val="both"/>
        <w:rPr>
          <w:rFonts w:ascii="Arial" w:hAnsi="Arial" w:cs="Arial"/>
          <w:b/>
          <w:color w:val="00B050"/>
        </w:rPr>
      </w:pPr>
      <w:r w:rsidRPr="004A2C42">
        <w:rPr>
          <w:rFonts w:ascii="Arial" w:hAnsi="Arial" w:cs="Arial"/>
          <w:b/>
          <w:color w:val="00B050"/>
          <w:u w:val="single"/>
        </w:rPr>
        <w:t>HEBDOMADAIRE</w:t>
      </w:r>
      <w:r w:rsidRPr="004A2C42">
        <w:rPr>
          <w:rFonts w:ascii="Arial" w:hAnsi="Arial" w:cs="Arial"/>
          <w:b/>
          <w:color w:val="00B050"/>
        </w:rPr>
        <w:t xml:space="preserve"> : </w:t>
      </w:r>
      <w:r w:rsidR="00134724" w:rsidRPr="004A2C42">
        <w:rPr>
          <w:rFonts w:ascii="Arial" w:hAnsi="Arial" w:cs="Arial"/>
          <w:b/>
          <w:color w:val="00B050"/>
        </w:rPr>
        <w:t>L</w:t>
      </w:r>
      <w:r w:rsidR="002F0C21">
        <w:rPr>
          <w:rFonts w:ascii="Arial" w:hAnsi="Arial" w:cs="Arial"/>
          <w:b/>
          <w:color w:val="00B050"/>
        </w:rPr>
        <w:t xml:space="preserve">e marché n’est plus en tendance. L’absence de dynamique limite le potentiel de déplacement aux supports ou aux résistances. Sur le court terme, le taux est actuellement cadré par 1.55 et 1.32. En dépassement </w:t>
      </w:r>
      <w:r w:rsidR="00373142">
        <w:rPr>
          <w:rFonts w:ascii="Arial" w:hAnsi="Arial" w:cs="Arial"/>
          <w:b/>
          <w:color w:val="00B050"/>
        </w:rPr>
        <w:t>le mouvement restera limité aux points de long terme à savoir 1.09 ou 1.69.</w:t>
      </w:r>
      <w:r w:rsidR="002F0C21">
        <w:rPr>
          <w:rFonts w:ascii="Arial" w:hAnsi="Arial" w:cs="Arial"/>
          <w:b/>
          <w:color w:val="00B050"/>
        </w:rPr>
        <w:t xml:space="preserve"> </w:t>
      </w:r>
    </w:p>
    <w:p w:rsidR="00134724" w:rsidRDefault="00134724" w:rsidP="00BE257A">
      <w:pPr>
        <w:jc w:val="both"/>
        <w:rPr>
          <w:rFonts w:ascii="Arial" w:hAnsi="Arial" w:cs="Arial"/>
          <w:b/>
          <w:color w:val="FF0000"/>
        </w:rPr>
      </w:pPr>
    </w:p>
    <w:p w:rsidR="00134724" w:rsidRDefault="00134724"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Default="00A30EF5" w:rsidP="00BE257A">
      <w:pPr>
        <w:jc w:val="both"/>
        <w:rPr>
          <w:rFonts w:ascii="Arial" w:hAnsi="Arial" w:cs="Arial"/>
          <w:b/>
          <w:color w:val="FF0000"/>
        </w:rPr>
      </w:pPr>
    </w:p>
    <w:p w:rsidR="00A30EF5" w:rsidRPr="00BA1E3D" w:rsidRDefault="00A30EF5" w:rsidP="00BE257A">
      <w:pPr>
        <w:jc w:val="both"/>
        <w:rPr>
          <w:rFonts w:ascii="Arial" w:hAnsi="Arial" w:cs="Arial"/>
          <w:b/>
          <w:color w:val="FF0000"/>
        </w:rPr>
      </w:pPr>
    </w:p>
    <w:p w:rsidR="00DC295E" w:rsidRPr="00AD7F6F" w:rsidRDefault="00F72829" w:rsidP="00FE5EA5">
      <w:pPr>
        <w:jc w:val="both"/>
        <w:rPr>
          <w:rFonts w:ascii="Arial" w:eastAsia="Calibri" w:hAnsi="Arial" w:cs="Arial"/>
          <w:b/>
        </w:rPr>
      </w:pPr>
      <w:r w:rsidRPr="00D43DAB">
        <w:rPr>
          <w:rFonts w:ascii="Arial" w:hAnsi="Arial" w:cs="Arial"/>
          <w:b/>
          <w:bCs/>
          <w:color w:val="FF0000"/>
          <w:sz w:val="28"/>
          <w:szCs w:val="28"/>
        </w:rPr>
        <w:lastRenderedPageBreak/>
        <w:t xml:space="preserve">                         </w:t>
      </w:r>
      <w:r w:rsidR="006D7DCD">
        <w:rPr>
          <w:rFonts w:ascii="Arial" w:hAnsi="Arial" w:cs="Arial"/>
          <w:b/>
          <w:bCs/>
          <w:color w:val="FF0000"/>
          <w:sz w:val="28"/>
          <w:szCs w:val="28"/>
        </w:rPr>
        <w:t xml:space="preserve">         </w:t>
      </w:r>
      <w:bookmarkStart w:id="2" w:name="_GoBack"/>
      <w:bookmarkEnd w:id="0"/>
      <w:bookmarkEnd w:id="2"/>
    </w:p>
    <w:sectPr w:rsidR="00DC295E" w:rsidRPr="00AD7F6F" w:rsidSect="0050573E">
      <w:headerReference w:type="even" r:id="rId19"/>
      <w:headerReference w:type="default" r:id="rId20"/>
      <w:footerReference w:type="even" r:id="rId21"/>
      <w:footerReference w:type="default" r:id="rId22"/>
      <w:headerReference w:type="first" r:id="rId23"/>
      <w:footerReference w:type="first" r:id="rId24"/>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0FF6" w:rsidRDefault="006C0FF6" w:rsidP="00632EAA">
      <w:r>
        <w:separator/>
      </w:r>
    </w:p>
  </w:endnote>
  <w:endnote w:type="continuationSeparator" w:id="0">
    <w:p w:rsidR="006C0FF6" w:rsidRDefault="006C0FF6"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5EA5" w:rsidRDefault="00FE5EA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9441958"/>
      <w:docPartObj>
        <w:docPartGallery w:val="Page Numbers (Bottom of Page)"/>
        <w:docPartUnique/>
      </w:docPartObj>
    </w:sdtPr>
    <w:sdtEndPr/>
    <w:sdtContent>
      <w:p w:rsidR="00A30EF5" w:rsidRDefault="00A30EF5">
        <w:pPr>
          <w:pStyle w:val="Pieddepage"/>
          <w:jc w:val="right"/>
        </w:pPr>
        <w:r>
          <w:fldChar w:fldCharType="begin"/>
        </w:r>
        <w:r>
          <w:instrText>PAGE   \* MERGEFORMAT</w:instrText>
        </w:r>
        <w:r>
          <w:fldChar w:fldCharType="separate"/>
        </w:r>
        <w:r w:rsidR="00FE5EA5">
          <w:rPr>
            <w:noProof/>
          </w:rPr>
          <w:t>13</w:t>
        </w:r>
        <w:r>
          <w:fldChar w:fldCharType="end"/>
        </w:r>
      </w:p>
    </w:sdtContent>
  </w:sdt>
  <w:p w:rsidR="0019448F" w:rsidRDefault="00FE5EA5">
    <w:pPr>
      <w:pStyle w:val="Pieddepage"/>
    </w:pPr>
    <w:r>
      <w:rPr>
        <w:noProof/>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10227945</wp:posOffset>
              </wp:positionV>
              <wp:extent cx="7560310" cy="273050"/>
              <wp:effectExtent l="0" t="0" r="0" b="12700"/>
              <wp:wrapNone/>
              <wp:docPr id="2" name="MSIPCM4df14370a0a38ba1860854af" descr="{&quot;HashCode&quot;:110066269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FE5EA5" w:rsidRPr="00FE5EA5" w:rsidRDefault="00FE5EA5" w:rsidP="00FE5EA5">
                          <w:pPr>
                            <w:rPr>
                              <w:rFonts w:ascii="Calibri" w:hAnsi="Calibri" w:cs="Calibri"/>
                              <w:color w:val="737373"/>
                              <w:sz w:val="16"/>
                            </w:rPr>
                          </w:pPr>
                          <w:r w:rsidRPr="00FE5EA5">
                            <w:rPr>
                              <w:rFonts w:ascii="Calibri" w:hAnsi="Calibri" w:cs="Calibri"/>
                              <w:color w:val="737373"/>
                              <w:sz w:val="16"/>
                            </w:rPr>
                            <w:t>C2 - Internal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4df14370a0a38ba1860854af" o:spid="_x0000_s1026" type="#_x0000_t202" alt="{&quot;HashCode&quot;:1100662692,&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" o:allowincell="f" filled="f" stroked="f" strokeweight=".5pt">
              <v:fill o:detectmouseclick="t"/>
              <v:textbox inset="20pt,0,,0">
                <w:txbxContent>
                  <w:p w:rsidR="00FE5EA5" w:rsidRPr="00FE5EA5" w:rsidRDefault="00FE5EA5" w:rsidP="00FE5EA5">
                    <w:pPr>
                      <w:rPr>
                        <w:rFonts w:ascii="Calibri" w:hAnsi="Calibri" w:cs="Calibri"/>
                        <w:color w:val="737373"/>
                        <w:sz w:val="16"/>
                      </w:rPr>
                    </w:pPr>
                    <w:r w:rsidRPr="00FE5EA5">
                      <w:rPr>
                        <w:rFonts w:ascii="Calibri" w:hAnsi="Calibri" w:cs="Calibri"/>
                        <w:color w:val="737373"/>
                        <w:sz w:val="16"/>
                      </w:rPr>
                      <w:t>C2 - Internal Natixis</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5EA5" w:rsidRDefault="00FE5EA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0FF6" w:rsidRDefault="006C0FF6" w:rsidP="00632EAA">
      <w:r>
        <w:separator/>
      </w:r>
    </w:p>
  </w:footnote>
  <w:footnote w:type="continuationSeparator" w:id="0">
    <w:p w:rsidR="006C0FF6" w:rsidRDefault="006C0FF6" w:rsidP="00632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5EA5" w:rsidRDefault="00FE5EA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5EA5" w:rsidRDefault="00FE5EA5">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5EA5" w:rsidRDefault="00FE5EA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EAA"/>
    <w:rsid w:val="00015DE9"/>
    <w:rsid w:val="00024342"/>
    <w:rsid w:val="00031AE3"/>
    <w:rsid w:val="00031D2A"/>
    <w:rsid w:val="000403B1"/>
    <w:rsid w:val="00040784"/>
    <w:rsid w:val="00040AE9"/>
    <w:rsid w:val="000412FF"/>
    <w:rsid w:val="00041F25"/>
    <w:rsid w:val="0005450A"/>
    <w:rsid w:val="0006167C"/>
    <w:rsid w:val="000641C0"/>
    <w:rsid w:val="000679AC"/>
    <w:rsid w:val="00077732"/>
    <w:rsid w:val="000874DF"/>
    <w:rsid w:val="00090B79"/>
    <w:rsid w:val="00093D02"/>
    <w:rsid w:val="0009578D"/>
    <w:rsid w:val="0009601D"/>
    <w:rsid w:val="000A3D69"/>
    <w:rsid w:val="000A4A04"/>
    <w:rsid w:val="000C5BCC"/>
    <w:rsid w:val="000D17A4"/>
    <w:rsid w:val="000D21A7"/>
    <w:rsid w:val="000D268A"/>
    <w:rsid w:val="000D4E0C"/>
    <w:rsid w:val="000D6642"/>
    <w:rsid w:val="000D72F9"/>
    <w:rsid w:val="000D7ED2"/>
    <w:rsid w:val="000E4AFF"/>
    <w:rsid w:val="000E52E1"/>
    <w:rsid w:val="000E620B"/>
    <w:rsid w:val="000E65BF"/>
    <w:rsid w:val="000F7250"/>
    <w:rsid w:val="00100473"/>
    <w:rsid w:val="00101F48"/>
    <w:rsid w:val="00104E12"/>
    <w:rsid w:val="0010583E"/>
    <w:rsid w:val="001155DC"/>
    <w:rsid w:val="00124CE0"/>
    <w:rsid w:val="0012530F"/>
    <w:rsid w:val="001259C9"/>
    <w:rsid w:val="00134724"/>
    <w:rsid w:val="00141BFC"/>
    <w:rsid w:val="001420E9"/>
    <w:rsid w:val="00145281"/>
    <w:rsid w:val="00151611"/>
    <w:rsid w:val="00151A43"/>
    <w:rsid w:val="00152726"/>
    <w:rsid w:val="001562F5"/>
    <w:rsid w:val="0017044D"/>
    <w:rsid w:val="00174112"/>
    <w:rsid w:val="00174D90"/>
    <w:rsid w:val="001758CA"/>
    <w:rsid w:val="00175D7D"/>
    <w:rsid w:val="001802ED"/>
    <w:rsid w:val="00181C36"/>
    <w:rsid w:val="0019448F"/>
    <w:rsid w:val="00194BF8"/>
    <w:rsid w:val="001B1120"/>
    <w:rsid w:val="001B1B61"/>
    <w:rsid w:val="001B313E"/>
    <w:rsid w:val="001C0911"/>
    <w:rsid w:val="001C0A29"/>
    <w:rsid w:val="001C6728"/>
    <w:rsid w:val="001D21C0"/>
    <w:rsid w:val="001D2CFB"/>
    <w:rsid w:val="001E4E26"/>
    <w:rsid w:val="001F0E5F"/>
    <w:rsid w:val="002000EA"/>
    <w:rsid w:val="00203583"/>
    <w:rsid w:val="00206C2A"/>
    <w:rsid w:val="002078BB"/>
    <w:rsid w:val="0021328A"/>
    <w:rsid w:val="00222827"/>
    <w:rsid w:val="00230B15"/>
    <w:rsid w:val="00233557"/>
    <w:rsid w:val="00235DEB"/>
    <w:rsid w:val="0023751E"/>
    <w:rsid w:val="002506D7"/>
    <w:rsid w:val="0025315D"/>
    <w:rsid w:val="00254989"/>
    <w:rsid w:val="00256885"/>
    <w:rsid w:val="00260D05"/>
    <w:rsid w:val="002637F2"/>
    <w:rsid w:val="00264ECA"/>
    <w:rsid w:val="00273EF1"/>
    <w:rsid w:val="00274AD5"/>
    <w:rsid w:val="00276D92"/>
    <w:rsid w:val="0027748F"/>
    <w:rsid w:val="00281F6C"/>
    <w:rsid w:val="00292AF0"/>
    <w:rsid w:val="002A322F"/>
    <w:rsid w:val="002A3CA4"/>
    <w:rsid w:val="002A46CF"/>
    <w:rsid w:val="002A634E"/>
    <w:rsid w:val="002A63D2"/>
    <w:rsid w:val="002B0A38"/>
    <w:rsid w:val="002B4084"/>
    <w:rsid w:val="002C101E"/>
    <w:rsid w:val="002C2834"/>
    <w:rsid w:val="002C5FAC"/>
    <w:rsid w:val="002D3EC9"/>
    <w:rsid w:val="002E337C"/>
    <w:rsid w:val="002E34FF"/>
    <w:rsid w:val="002E3C88"/>
    <w:rsid w:val="002E5E89"/>
    <w:rsid w:val="002E7D66"/>
    <w:rsid w:val="002F0C21"/>
    <w:rsid w:val="002F3091"/>
    <w:rsid w:val="002F6B57"/>
    <w:rsid w:val="0031071E"/>
    <w:rsid w:val="003166BC"/>
    <w:rsid w:val="00317596"/>
    <w:rsid w:val="003228D3"/>
    <w:rsid w:val="003233B1"/>
    <w:rsid w:val="003261EE"/>
    <w:rsid w:val="00330C78"/>
    <w:rsid w:val="00337BE0"/>
    <w:rsid w:val="0034135F"/>
    <w:rsid w:val="00343C28"/>
    <w:rsid w:val="00347D77"/>
    <w:rsid w:val="00352A1E"/>
    <w:rsid w:val="00353AD0"/>
    <w:rsid w:val="00354C96"/>
    <w:rsid w:val="00360110"/>
    <w:rsid w:val="00366961"/>
    <w:rsid w:val="00367239"/>
    <w:rsid w:val="00367599"/>
    <w:rsid w:val="003702C4"/>
    <w:rsid w:val="00373142"/>
    <w:rsid w:val="003750B6"/>
    <w:rsid w:val="00377440"/>
    <w:rsid w:val="0038119F"/>
    <w:rsid w:val="00385F69"/>
    <w:rsid w:val="003948B3"/>
    <w:rsid w:val="003952D7"/>
    <w:rsid w:val="00397BA3"/>
    <w:rsid w:val="003A1222"/>
    <w:rsid w:val="003B2CFF"/>
    <w:rsid w:val="003B63F5"/>
    <w:rsid w:val="003C03CD"/>
    <w:rsid w:val="003C27DA"/>
    <w:rsid w:val="003E1B3F"/>
    <w:rsid w:val="003E5A71"/>
    <w:rsid w:val="003E749D"/>
    <w:rsid w:val="003F4023"/>
    <w:rsid w:val="003F6F10"/>
    <w:rsid w:val="00401AE1"/>
    <w:rsid w:val="00401CC8"/>
    <w:rsid w:val="00401F6A"/>
    <w:rsid w:val="00402633"/>
    <w:rsid w:val="00403835"/>
    <w:rsid w:val="004069F1"/>
    <w:rsid w:val="004110E2"/>
    <w:rsid w:val="00415641"/>
    <w:rsid w:val="00416B48"/>
    <w:rsid w:val="00416F1A"/>
    <w:rsid w:val="0043099C"/>
    <w:rsid w:val="0043164A"/>
    <w:rsid w:val="00432974"/>
    <w:rsid w:val="00440575"/>
    <w:rsid w:val="00451C8C"/>
    <w:rsid w:val="00467E82"/>
    <w:rsid w:val="00470E75"/>
    <w:rsid w:val="00476700"/>
    <w:rsid w:val="00490C20"/>
    <w:rsid w:val="004A2C42"/>
    <w:rsid w:val="004A5B07"/>
    <w:rsid w:val="004A7BFF"/>
    <w:rsid w:val="004B145B"/>
    <w:rsid w:val="004C0997"/>
    <w:rsid w:val="004C107D"/>
    <w:rsid w:val="004C1D94"/>
    <w:rsid w:val="004C57CF"/>
    <w:rsid w:val="004C7595"/>
    <w:rsid w:val="004D02B8"/>
    <w:rsid w:val="004E02D3"/>
    <w:rsid w:val="004E2FE7"/>
    <w:rsid w:val="004F3E17"/>
    <w:rsid w:val="004F49FB"/>
    <w:rsid w:val="004F7DDC"/>
    <w:rsid w:val="0050573E"/>
    <w:rsid w:val="00514C7E"/>
    <w:rsid w:val="005224FA"/>
    <w:rsid w:val="0052288F"/>
    <w:rsid w:val="0054005C"/>
    <w:rsid w:val="00542FB4"/>
    <w:rsid w:val="0054379C"/>
    <w:rsid w:val="00545E40"/>
    <w:rsid w:val="005530C2"/>
    <w:rsid w:val="005600F6"/>
    <w:rsid w:val="0056419E"/>
    <w:rsid w:val="0059070C"/>
    <w:rsid w:val="00592CE7"/>
    <w:rsid w:val="005A7A3E"/>
    <w:rsid w:val="005B781D"/>
    <w:rsid w:val="005C3180"/>
    <w:rsid w:val="005C5E67"/>
    <w:rsid w:val="005D451E"/>
    <w:rsid w:val="005E3841"/>
    <w:rsid w:val="005E4948"/>
    <w:rsid w:val="005F7340"/>
    <w:rsid w:val="0060114F"/>
    <w:rsid w:val="006048FD"/>
    <w:rsid w:val="00620D34"/>
    <w:rsid w:val="0062397C"/>
    <w:rsid w:val="00626AF6"/>
    <w:rsid w:val="00632EAA"/>
    <w:rsid w:val="0063445B"/>
    <w:rsid w:val="006374F9"/>
    <w:rsid w:val="00643293"/>
    <w:rsid w:val="00645868"/>
    <w:rsid w:val="00650C73"/>
    <w:rsid w:val="0066004C"/>
    <w:rsid w:val="00670CF7"/>
    <w:rsid w:val="00676870"/>
    <w:rsid w:val="00682009"/>
    <w:rsid w:val="006871A5"/>
    <w:rsid w:val="0069101B"/>
    <w:rsid w:val="006A0DD9"/>
    <w:rsid w:val="006A1753"/>
    <w:rsid w:val="006B35CA"/>
    <w:rsid w:val="006B4A73"/>
    <w:rsid w:val="006C0FF6"/>
    <w:rsid w:val="006C10F5"/>
    <w:rsid w:val="006C59E0"/>
    <w:rsid w:val="006C634F"/>
    <w:rsid w:val="006D6C35"/>
    <w:rsid w:val="006D7DCD"/>
    <w:rsid w:val="006E0AD0"/>
    <w:rsid w:val="006E1A3A"/>
    <w:rsid w:val="006E6472"/>
    <w:rsid w:val="006F6A52"/>
    <w:rsid w:val="006F7044"/>
    <w:rsid w:val="00702A9F"/>
    <w:rsid w:val="00704A64"/>
    <w:rsid w:val="007236FA"/>
    <w:rsid w:val="00725CFC"/>
    <w:rsid w:val="00726F34"/>
    <w:rsid w:val="00727A2F"/>
    <w:rsid w:val="00732E1A"/>
    <w:rsid w:val="0073620D"/>
    <w:rsid w:val="007400C0"/>
    <w:rsid w:val="00746A4F"/>
    <w:rsid w:val="00754F13"/>
    <w:rsid w:val="00762F69"/>
    <w:rsid w:val="00775E44"/>
    <w:rsid w:val="00776C3E"/>
    <w:rsid w:val="007801B9"/>
    <w:rsid w:val="00781543"/>
    <w:rsid w:val="007A54EF"/>
    <w:rsid w:val="007B31F5"/>
    <w:rsid w:val="007B6865"/>
    <w:rsid w:val="007C14A5"/>
    <w:rsid w:val="007D4DA3"/>
    <w:rsid w:val="007D538A"/>
    <w:rsid w:val="007E0829"/>
    <w:rsid w:val="007E3F85"/>
    <w:rsid w:val="007E4A2B"/>
    <w:rsid w:val="007F5372"/>
    <w:rsid w:val="00805F6D"/>
    <w:rsid w:val="00810D8C"/>
    <w:rsid w:val="00811CF5"/>
    <w:rsid w:val="0081223A"/>
    <w:rsid w:val="0081521A"/>
    <w:rsid w:val="00817780"/>
    <w:rsid w:val="008213B0"/>
    <w:rsid w:val="00821443"/>
    <w:rsid w:val="008251B9"/>
    <w:rsid w:val="008269BA"/>
    <w:rsid w:val="00841983"/>
    <w:rsid w:val="00841EF7"/>
    <w:rsid w:val="008431B4"/>
    <w:rsid w:val="00843BA0"/>
    <w:rsid w:val="0085485A"/>
    <w:rsid w:val="00855054"/>
    <w:rsid w:val="00860835"/>
    <w:rsid w:val="00862246"/>
    <w:rsid w:val="008631EB"/>
    <w:rsid w:val="00875D08"/>
    <w:rsid w:val="008761B9"/>
    <w:rsid w:val="008769DF"/>
    <w:rsid w:val="00883760"/>
    <w:rsid w:val="00893DED"/>
    <w:rsid w:val="00894BE9"/>
    <w:rsid w:val="008A2B2F"/>
    <w:rsid w:val="008A4E31"/>
    <w:rsid w:val="008C46FE"/>
    <w:rsid w:val="008C6E2B"/>
    <w:rsid w:val="008D0E1C"/>
    <w:rsid w:val="008D490D"/>
    <w:rsid w:val="008E220D"/>
    <w:rsid w:val="008F1539"/>
    <w:rsid w:val="00900B05"/>
    <w:rsid w:val="009049D6"/>
    <w:rsid w:val="009079FA"/>
    <w:rsid w:val="00911680"/>
    <w:rsid w:val="009141EC"/>
    <w:rsid w:val="00917964"/>
    <w:rsid w:val="0092725C"/>
    <w:rsid w:val="00932B93"/>
    <w:rsid w:val="009341A8"/>
    <w:rsid w:val="00934473"/>
    <w:rsid w:val="00935C01"/>
    <w:rsid w:val="009372C2"/>
    <w:rsid w:val="0093766C"/>
    <w:rsid w:val="009435E0"/>
    <w:rsid w:val="00947D9D"/>
    <w:rsid w:val="00957245"/>
    <w:rsid w:val="0096003D"/>
    <w:rsid w:val="009601F4"/>
    <w:rsid w:val="00970A24"/>
    <w:rsid w:val="0097505A"/>
    <w:rsid w:val="009751B4"/>
    <w:rsid w:val="009925DF"/>
    <w:rsid w:val="00992B49"/>
    <w:rsid w:val="00996367"/>
    <w:rsid w:val="009B0E08"/>
    <w:rsid w:val="009B4D2D"/>
    <w:rsid w:val="009B7D86"/>
    <w:rsid w:val="009C2A7C"/>
    <w:rsid w:val="009C45D1"/>
    <w:rsid w:val="009D01D8"/>
    <w:rsid w:val="009D6F55"/>
    <w:rsid w:val="009E22DE"/>
    <w:rsid w:val="009F1AF9"/>
    <w:rsid w:val="009F7FD0"/>
    <w:rsid w:val="00A00B42"/>
    <w:rsid w:val="00A027F6"/>
    <w:rsid w:val="00A04A6C"/>
    <w:rsid w:val="00A15D2E"/>
    <w:rsid w:val="00A215DB"/>
    <w:rsid w:val="00A2391D"/>
    <w:rsid w:val="00A27403"/>
    <w:rsid w:val="00A308B4"/>
    <w:rsid w:val="00A30EF5"/>
    <w:rsid w:val="00A34C8C"/>
    <w:rsid w:val="00A36E33"/>
    <w:rsid w:val="00A3772E"/>
    <w:rsid w:val="00A40891"/>
    <w:rsid w:val="00A44ABB"/>
    <w:rsid w:val="00A472AD"/>
    <w:rsid w:val="00A636A6"/>
    <w:rsid w:val="00A64B0D"/>
    <w:rsid w:val="00A665E7"/>
    <w:rsid w:val="00A73D56"/>
    <w:rsid w:val="00A741BF"/>
    <w:rsid w:val="00A77E98"/>
    <w:rsid w:val="00A82504"/>
    <w:rsid w:val="00A84247"/>
    <w:rsid w:val="00A87371"/>
    <w:rsid w:val="00A901AB"/>
    <w:rsid w:val="00A902E0"/>
    <w:rsid w:val="00AA00F5"/>
    <w:rsid w:val="00AA28DD"/>
    <w:rsid w:val="00AA5C6E"/>
    <w:rsid w:val="00AA7942"/>
    <w:rsid w:val="00AB09C6"/>
    <w:rsid w:val="00AB20FB"/>
    <w:rsid w:val="00AB7793"/>
    <w:rsid w:val="00AC4E3C"/>
    <w:rsid w:val="00AC5952"/>
    <w:rsid w:val="00AD3EC0"/>
    <w:rsid w:val="00AD7F6F"/>
    <w:rsid w:val="00AE3A93"/>
    <w:rsid w:val="00AE44FC"/>
    <w:rsid w:val="00AF41BB"/>
    <w:rsid w:val="00AF42D3"/>
    <w:rsid w:val="00AF4A78"/>
    <w:rsid w:val="00AF6373"/>
    <w:rsid w:val="00B0012C"/>
    <w:rsid w:val="00B018B5"/>
    <w:rsid w:val="00B03AED"/>
    <w:rsid w:val="00B06C8C"/>
    <w:rsid w:val="00B10C67"/>
    <w:rsid w:val="00B22088"/>
    <w:rsid w:val="00B23C18"/>
    <w:rsid w:val="00B30D14"/>
    <w:rsid w:val="00B35DBD"/>
    <w:rsid w:val="00B41142"/>
    <w:rsid w:val="00B422AB"/>
    <w:rsid w:val="00B4277F"/>
    <w:rsid w:val="00B5084B"/>
    <w:rsid w:val="00B5410C"/>
    <w:rsid w:val="00B65EBF"/>
    <w:rsid w:val="00B67C22"/>
    <w:rsid w:val="00B7197D"/>
    <w:rsid w:val="00B71F16"/>
    <w:rsid w:val="00B731A7"/>
    <w:rsid w:val="00B74B95"/>
    <w:rsid w:val="00B83DFB"/>
    <w:rsid w:val="00BA1E3D"/>
    <w:rsid w:val="00BA1F23"/>
    <w:rsid w:val="00BA61B1"/>
    <w:rsid w:val="00BB42CC"/>
    <w:rsid w:val="00BB4D8C"/>
    <w:rsid w:val="00BD620D"/>
    <w:rsid w:val="00BE257A"/>
    <w:rsid w:val="00BE6BD9"/>
    <w:rsid w:val="00BE7C61"/>
    <w:rsid w:val="00BF28CE"/>
    <w:rsid w:val="00C014A3"/>
    <w:rsid w:val="00C0184E"/>
    <w:rsid w:val="00C17FD4"/>
    <w:rsid w:val="00C2005B"/>
    <w:rsid w:val="00C23D35"/>
    <w:rsid w:val="00C26531"/>
    <w:rsid w:val="00C5412E"/>
    <w:rsid w:val="00C5448E"/>
    <w:rsid w:val="00C606D4"/>
    <w:rsid w:val="00C620BE"/>
    <w:rsid w:val="00C65DC9"/>
    <w:rsid w:val="00C70863"/>
    <w:rsid w:val="00C80D99"/>
    <w:rsid w:val="00C82F97"/>
    <w:rsid w:val="00C85349"/>
    <w:rsid w:val="00C856C1"/>
    <w:rsid w:val="00C86F3C"/>
    <w:rsid w:val="00C87891"/>
    <w:rsid w:val="00C92A3F"/>
    <w:rsid w:val="00C955D5"/>
    <w:rsid w:val="00CA3A8D"/>
    <w:rsid w:val="00CB45A3"/>
    <w:rsid w:val="00CB5FE1"/>
    <w:rsid w:val="00CB6C73"/>
    <w:rsid w:val="00CD06AD"/>
    <w:rsid w:val="00CD4D97"/>
    <w:rsid w:val="00CE068E"/>
    <w:rsid w:val="00CE778C"/>
    <w:rsid w:val="00CF3144"/>
    <w:rsid w:val="00CF5C74"/>
    <w:rsid w:val="00CF7FF8"/>
    <w:rsid w:val="00D06ADB"/>
    <w:rsid w:val="00D07DCB"/>
    <w:rsid w:val="00D15C83"/>
    <w:rsid w:val="00D24188"/>
    <w:rsid w:val="00D2583B"/>
    <w:rsid w:val="00D2679F"/>
    <w:rsid w:val="00D27672"/>
    <w:rsid w:val="00D32D69"/>
    <w:rsid w:val="00D37A42"/>
    <w:rsid w:val="00D40055"/>
    <w:rsid w:val="00D43DAB"/>
    <w:rsid w:val="00D452F3"/>
    <w:rsid w:val="00D458DE"/>
    <w:rsid w:val="00D52828"/>
    <w:rsid w:val="00D53649"/>
    <w:rsid w:val="00D5530C"/>
    <w:rsid w:val="00D5702B"/>
    <w:rsid w:val="00D709E7"/>
    <w:rsid w:val="00D756C6"/>
    <w:rsid w:val="00D82307"/>
    <w:rsid w:val="00D90986"/>
    <w:rsid w:val="00D91B67"/>
    <w:rsid w:val="00D9653B"/>
    <w:rsid w:val="00D97169"/>
    <w:rsid w:val="00DA07F1"/>
    <w:rsid w:val="00DA29A7"/>
    <w:rsid w:val="00DA61C8"/>
    <w:rsid w:val="00DA6C8B"/>
    <w:rsid w:val="00DB12A7"/>
    <w:rsid w:val="00DB438C"/>
    <w:rsid w:val="00DC295E"/>
    <w:rsid w:val="00DC3AA6"/>
    <w:rsid w:val="00DC3BB3"/>
    <w:rsid w:val="00DC6E5A"/>
    <w:rsid w:val="00DD26C3"/>
    <w:rsid w:val="00DD404E"/>
    <w:rsid w:val="00DD5A19"/>
    <w:rsid w:val="00DE7494"/>
    <w:rsid w:val="00E01395"/>
    <w:rsid w:val="00E16C54"/>
    <w:rsid w:val="00E22DFF"/>
    <w:rsid w:val="00E357EC"/>
    <w:rsid w:val="00E376A8"/>
    <w:rsid w:val="00E37CD3"/>
    <w:rsid w:val="00E43B0C"/>
    <w:rsid w:val="00E44FD6"/>
    <w:rsid w:val="00E5074A"/>
    <w:rsid w:val="00E53824"/>
    <w:rsid w:val="00E60B59"/>
    <w:rsid w:val="00E73BC8"/>
    <w:rsid w:val="00E743CB"/>
    <w:rsid w:val="00E74773"/>
    <w:rsid w:val="00E75757"/>
    <w:rsid w:val="00E803BA"/>
    <w:rsid w:val="00E810A2"/>
    <w:rsid w:val="00E84B13"/>
    <w:rsid w:val="00EB61B6"/>
    <w:rsid w:val="00EC0AF5"/>
    <w:rsid w:val="00EC49FD"/>
    <w:rsid w:val="00EC4EBF"/>
    <w:rsid w:val="00ED0482"/>
    <w:rsid w:val="00EE13D1"/>
    <w:rsid w:val="00EE71A6"/>
    <w:rsid w:val="00EE7FC9"/>
    <w:rsid w:val="00F05CD8"/>
    <w:rsid w:val="00F136E1"/>
    <w:rsid w:val="00F139AF"/>
    <w:rsid w:val="00F20FBF"/>
    <w:rsid w:val="00F21A60"/>
    <w:rsid w:val="00F26BC3"/>
    <w:rsid w:val="00F27321"/>
    <w:rsid w:val="00F40918"/>
    <w:rsid w:val="00F52598"/>
    <w:rsid w:val="00F533C7"/>
    <w:rsid w:val="00F5391F"/>
    <w:rsid w:val="00F72829"/>
    <w:rsid w:val="00F74739"/>
    <w:rsid w:val="00F7511F"/>
    <w:rsid w:val="00F7571C"/>
    <w:rsid w:val="00F758DE"/>
    <w:rsid w:val="00F7692C"/>
    <w:rsid w:val="00F8107B"/>
    <w:rsid w:val="00F82484"/>
    <w:rsid w:val="00F846A0"/>
    <w:rsid w:val="00F930B8"/>
    <w:rsid w:val="00F944A1"/>
    <w:rsid w:val="00F950A8"/>
    <w:rsid w:val="00FA2131"/>
    <w:rsid w:val="00FA3742"/>
    <w:rsid w:val="00FA6DF2"/>
    <w:rsid w:val="00FC2714"/>
    <w:rsid w:val="00FD100B"/>
    <w:rsid w:val="00FD367A"/>
    <w:rsid w:val="00FE1EB2"/>
    <w:rsid w:val="00FE30E6"/>
    <w:rsid w:val="00FE5EA5"/>
    <w:rsid w:val="00FF09EF"/>
    <w:rsid w:val="00FF1052"/>
    <w:rsid w:val="00FF1FC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5:docId w15:val="{62CE4817-39E2-423A-839E-88D650961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C2C50-F3E9-4247-A192-176C0FBD5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1892</TotalTime>
  <Pages>13</Pages>
  <Words>1153</Words>
  <Characters>6345</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 Luc</cp:lastModifiedBy>
  <cp:revision>438</cp:revision>
  <cp:lastPrinted>2018-03-12T09:18:00Z</cp:lastPrinted>
  <dcterms:created xsi:type="dcterms:W3CDTF">2018-02-02T13:49:00Z</dcterms:created>
  <dcterms:modified xsi:type="dcterms:W3CDTF">2018-05-14T12:01:00Z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7e4f81-4b1c-4a3a-b237-8636707719dc_Enabled">
    <vt:lpwstr>True</vt:lpwstr>
  </property>
  <property fmtid="{D5CDD505-2E9C-101B-9397-08002B2CF9AE}" pid="3" name="MSIP_Label_797e4f81-4b1c-4a3a-b237-8636707719dc_SiteId">
    <vt:lpwstr>d5bb6d35-8a82-4329-b49a-5030bd6497ab</vt:lpwstr>
  </property>
  <property fmtid="{D5CDD505-2E9C-101B-9397-08002B2CF9AE}" pid="4" name="MSIP_Label_797e4f81-4b1c-4a3a-b237-8636707719dc_Ref">
    <vt:lpwstr>https://api.informationprotection.azure.com/api/d5bb6d35-8a82-4329-b49a-5030bd6497ab</vt:lpwstr>
  </property>
  <property fmtid="{D5CDD505-2E9C-101B-9397-08002B2CF9AE}" pid="5" name="MSIP_Label_797e4f81-4b1c-4a3a-b237-8636707719dc_Owner">
    <vt:lpwstr>jean-luc.attal@ostrum.com</vt:lpwstr>
  </property>
  <property fmtid="{D5CDD505-2E9C-101B-9397-08002B2CF9AE}" pid="6" name="MSIP_Label_797e4f81-4b1c-4a3a-b237-8636707719dc_SetDate">
    <vt:lpwstr>2018-04-06T11:47:54.1052964+02:00</vt:lpwstr>
  </property>
  <property fmtid="{D5CDD505-2E9C-101B-9397-08002B2CF9AE}" pid="7" name="MSIP_Label_797e4f81-4b1c-4a3a-b237-8636707719dc_Name">
    <vt:lpwstr>C2 - Internal Natixis</vt:lpwstr>
  </property>
  <property fmtid="{D5CDD505-2E9C-101B-9397-08002B2CF9AE}" pid="8" name="MSIP_Label_797e4f81-4b1c-4a3a-b237-8636707719dc_Application">
    <vt:lpwstr>Microsoft Azure Information Protection</vt:lpwstr>
  </property>
  <property fmtid="{D5CDD505-2E9C-101B-9397-08002B2CF9AE}" pid="9" name="MSIP_Label_797e4f81-4b1c-4a3a-b237-8636707719dc_Extended_MSFT_Method">
    <vt:lpwstr>Automatic</vt:lpwstr>
  </property>
  <property fmtid="{D5CDD505-2E9C-101B-9397-08002B2CF9AE}" pid="10" name="Sensitivity">
    <vt:lpwstr>C2 - Internal Natixis</vt:lpwstr>
  </property>
</Properties>
</file>