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457643">
        <w:rPr>
          <w:rFonts w:ascii="Calibri Light" w:hAnsi="Calibri Light" w:cs="Arial"/>
          <w:b/>
          <w:sz w:val="44"/>
          <w:szCs w:val="44"/>
        </w:rPr>
        <w:t>22</w:t>
      </w:r>
      <w:r w:rsidR="001259C9">
        <w:rPr>
          <w:rFonts w:ascii="Calibri Light" w:hAnsi="Calibri Light" w:cs="Arial"/>
          <w:b/>
          <w:sz w:val="44"/>
          <w:szCs w:val="44"/>
        </w:rPr>
        <w:t xml:space="preserve"> mai</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343C28" w:rsidRPr="00800AB1" w:rsidRDefault="00343C28" w:rsidP="00F72829">
      <w:pPr>
        <w:jc w:val="both"/>
        <w:rPr>
          <w:rFonts w:ascii="Arial" w:hAnsi="Arial" w:cs="Arial"/>
          <w:b/>
          <w:sz w:val="22"/>
          <w:szCs w:val="22"/>
        </w:rPr>
      </w:pPr>
    </w:p>
    <w:p w:rsidR="00F72829" w:rsidRPr="0043164A"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43164A">
        <w:rPr>
          <w:rFonts w:ascii="Arial" w:hAnsi="Arial" w:cs="Arial"/>
          <w:b/>
          <w:sz w:val="36"/>
          <w:szCs w:val="36"/>
          <w:u w:val="single"/>
        </w:rPr>
        <w:t xml:space="preserve">10 ans Euro </w:t>
      </w:r>
    </w:p>
    <w:p w:rsidR="000D4E0C" w:rsidRPr="0043164A" w:rsidRDefault="000D4E0C" w:rsidP="000D4E0C">
      <w:pPr>
        <w:autoSpaceDE w:val="0"/>
        <w:jc w:val="both"/>
        <w:rPr>
          <w:rFonts w:ascii="Arial" w:hAnsi="Arial" w:cs="Arial"/>
          <w:b/>
          <w:sz w:val="28"/>
          <w:szCs w:val="28"/>
          <w:u w:val="single"/>
        </w:rPr>
      </w:pPr>
      <w:r w:rsidRPr="0043164A">
        <w:rPr>
          <w:rFonts w:ascii="Arial" w:hAnsi="Arial" w:cs="Arial"/>
          <w:b/>
          <w:sz w:val="28"/>
          <w:szCs w:val="28"/>
          <w:u w:val="single"/>
        </w:rPr>
        <w:t>Monthly</w:t>
      </w:r>
    </w:p>
    <w:p w:rsidR="00F72829" w:rsidRPr="0095687C" w:rsidRDefault="00EB3109" w:rsidP="00B65AF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14160" cy="4272643"/>
            <wp:effectExtent l="0" t="0" r="0" b="0"/>
            <wp:docPr id="4" name="Image 4" descr="C:\Temp\Bloomberg\temp\bfm4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4004.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3114" cy="4291347"/>
                    </a:xfrm>
                    <a:prstGeom prst="rect">
                      <a:avLst/>
                    </a:prstGeom>
                    <a:noFill/>
                    <a:ln>
                      <a:noFill/>
                    </a:ln>
                  </pic:spPr>
                </pic:pic>
              </a:graphicData>
            </a:graphic>
          </wp:inline>
        </w:drawing>
      </w:r>
    </w:p>
    <w:p w:rsidR="00F72829" w:rsidRPr="0095687C" w:rsidRDefault="00F72829" w:rsidP="00F72829">
      <w:pPr>
        <w:autoSpaceDE w:val="0"/>
        <w:jc w:val="both"/>
        <w:rPr>
          <w:rFonts w:ascii="Arial" w:hAnsi="Arial" w:cs="Arial"/>
          <w:b/>
          <w:sz w:val="28"/>
          <w:szCs w:val="28"/>
          <w:u w:val="single"/>
        </w:rPr>
      </w:pPr>
      <w:r w:rsidRPr="0095687C">
        <w:rPr>
          <w:rFonts w:ascii="Arial" w:hAnsi="Arial" w:cs="Arial"/>
          <w:b/>
          <w:sz w:val="28"/>
          <w:szCs w:val="28"/>
          <w:u w:val="single"/>
        </w:rPr>
        <w:t>Weekly</w:t>
      </w:r>
    </w:p>
    <w:p w:rsidR="000D4E0C" w:rsidRPr="0095687C" w:rsidRDefault="00EB3109" w:rsidP="00B23A4D">
      <w:pPr>
        <w:autoSpaceDE w:val="0"/>
        <w:ind w:left="-283"/>
        <w:jc w:val="both"/>
        <w:rPr>
          <w:rFonts w:ascii="Arial" w:hAnsi="Arial" w:cs="Arial"/>
          <w:b/>
          <w:sz w:val="28"/>
          <w:szCs w:val="28"/>
          <w:u w:val="single"/>
        </w:rPr>
      </w:pPr>
      <w:r>
        <w:rPr>
          <w:rFonts w:ascii="Arial" w:hAnsi="Arial" w:cs="Arial"/>
          <w:b/>
          <w:noProof/>
          <w:sz w:val="28"/>
          <w:szCs w:val="28"/>
          <w:u w:val="single"/>
        </w:rPr>
        <w:lastRenderedPageBreak/>
        <w:drawing>
          <wp:inline distT="0" distB="0" distL="0" distR="0">
            <wp:extent cx="6781800" cy="4512129"/>
            <wp:effectExtent l="0" t="0" r="0" b="3175"/>
            <wp:docPr id="3" name="Image 3" descr="C:\Temp\Bloomberg\temp\bfmBCC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BCC0.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91002" cy="4518252"/>
                    </a:xfrm>
                    <a:prstGeom prst="rect">
                      <a:avLst/>
                    </a:prstGeom>
                    <a:noFill/>
                    <a:ln>
                      <a:noFill/>
                    </a:ln>
                  </pic:spPr>
                </pic:pic>
              </a:graphicData>
            </a:graphic>
          </wp:inline>
        </w:drawing>
      </w:r>
    </w:p>
    <w:p w:rsidR="000D4E0C" w:rsidRPr="0095687C" w:rsidRDefault="005E3841" w:rsidP="00B65AF1">
      <w:pPr>
        <w:autoSpaceDE w:val="0"/>
        <w:ind w:left="-851"/>
        <w:jc w:val="both"/>
        <w:rPr>
          <w:rFonts w:ascii="Arial" w:hAnsi="Arial" w:cs="Arial"/>
          <w:b/>
          <w:sz w:val="28"/>
          <w:szCs w:val="28"/>
          <w:u w:val="single"/>
        </w:rPr>
      </w:pPr>
      <w:r w:rsidRPr="0095687C">
        <w:rPr>
          <w:rFonts w:ascii="Arial" w:hAnsi="Arial" w:cs="Arial"/>
          <w:b/>
          <w:sz w:val="28"/>
          <w:szCs w:val="28"/>
        </w:rPr>
        <w:t xml:space="preserve">           </w:t>
      </w:r>
      <w:r w:rsidR="000D4E0C" w:rsidRPr="0095687C">
        <w:rPr>
          <w:rFonts w:ascii="Arial" w:hAnsi="Arial" w:cs="Arial"/>
          <w:b/>
          <w:sz w:val="28"/>
          <w:szCs w:val="28"/>
          <w:u w:val="single"/>
        </w:rPr>
        <w:t>Daily</w:t>
      </w:r>
    </w:p>
    <w:p w:rsidR="004873C5" w:rsidRPr="0095687C" w:rsidRDefault="00EB3109" w:rsidP="00B65AF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841053" cy="4626428"/>
            <wp:effectExtent l="0" t="0" r="0" b="3175"/>
            <wp:docPr id="2" name="Image 2" descr="C:\Temp\Bloomberg\temp\bfm4B8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4B86.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7807" cy="4630995"/>
                    </a:xfrm>
                    <a:prstGeom prst="rect">
                      <a:avLst/>
                    </a:prstGeom>
                    <a:noFill/>
                    <a:ln>
                      <a:noFill/>
                    </a:ln>
                  </pic:spPr>
                </pic:pic>
              </a:graphicData>
            </a:graphic>
          </wp:inline>
        </w:drawing>
      </w:r>
    </w:p>
    <w:p w:rsidR="00A3197D" w:rsidRDefault="00F72829" w:rsidP="008631EB">
      <w:pPr>
        <w:jc w:val="both"/>
        <w:rPr>
          <w:rFonts w:ascii="Tahoma" w:hAnsi="Tahoma" w:cs="Tahoma"/>
        </w:rPr>
      </w:pPr>
      <w:r w:rsidRPr="008631EB">
        <w:rPr>
          <w:rFonts w:ascii="Arial" w:hAnsi="Arial" w:cs="Arial"/>
          <w:b/>
        </w:rPr>
        <w:lastRenderedPageBreak/>
        <w:t>M</w:t>
      </w:r>
      <w:r w:rsidR="00DC3AA6" w:rsidRPr="008631EB">
        <w:rPr>
          <w:rFonts w:ascii="Arial" w:hAnsi="Arial" w:cs="Arial"/>
          <w:b/>
        </w:rPr>
        <w:t xml:space="preserve"> : </w:t>
      </w:r>
      <w:r w:rsidR="003261EE">
        <w:rPr>
          <w:rFonts w:ascii="Tahoma" w:hAnsi="Tahoma" w:cs="Tahoma"/>
        </w:rPr>
        <w:t xml:space="preserve">Le </w:t>
      </w:r>
      <w:r w:rsidR="00A3197D">
        <w:rPr>
          <w:rFonts w:ascii="Tahoma" w:hAnsi="Tahoma" w:cs="Tahoma"/>
        </w:rPr>
        <w:t xml:space="preserve">contexte de </w:t>
      </w:r>
      <w:r w:rsidR="00FA5CAD">
        <w:rPr>
          <w:rFonts w:ascii="Tahoma" w:hAnsi="Tahoma" w:cs="Tahoma"/>
        </w:rPr>
        <w:t>long</w:t>
      </w:r>
      <w:r w:rsidR="00A3197D">
        <w:rPr>
          <w:rFonts w:ascii="Tahoma" w:hAnsi="Tahoma" w:cs="Tahoma"/>
        </w:rPr>
        <w:t xml:space="preserve"> terme est baissier. Le 10 ans s’est positionné sous la borne basse de son nuage qui servira de résistance sur 0.65 jusqu’à la fin du mois de juin.</w:t>
      </w:r>
    </w:p>
    <w:p w:rsidR="004873C5" w:rsidRDefault="00A3197D" w:rsidP="008631EB">
      <w:pPr>
        <w:jc w:val="both"/>
        <w:rPr>
          <w:rFonts w:ascii="Tahoma" w:hAnsi="Tahoma" w:cs="Tahoma"/>
        </w:rPr>
      </w:pPr>
      <w:r>
        <w:rPr>
          <w:rFonts w:ascii="Tahoma" w:hAnsi="Tahoma" w:cs="Tahoma"/>
        </w:rPr>
        <w:t>Les plats de TS et de KS indiquent que le marché n’est pas en tendance. Cette situation limite la capacité à dépasser les points difficiles comme peut l’être la SSA sur 0.65.</w:t>
      </w:r>
    </w:p>
    <w:p w:rsidR="00D17E01" w:rsidRDefault="00D17E01" w:rsidP="008631EB">
      <w:pPr>
        <w:jc w:val="both"/>
        <w:rPr>
          <w:rFonts w:ascii="Tahoma" w:hAnsi="Tahoma" w:cs="Tahoma"/>
        </w:rPr>
      </w:pPr>
      <w:r>
        <w:rPr>
          <w:rFonts w:ascii="Tahoma" w:hAnsi="Tahoma" w:cs="Tahoma"/>
        </w:rPr>
        <w:t xml:space="preserve">Le maintien du 10 ans Euro </w:t>
      </w:r>
      <w:r w:rsidR="006420ED">
        <w:rPr>
          <w:rFonts w:ascii="Tahoma" w:hAnsi="Tahoma" w:cs="Tahoma"/>
        </w:rPr>
        <w:t>au-dessus</w:t>
      </w:r>
      <w:r>
        <w:rPr>
          <w:rFonts w:ascii="Tahoma" w:hAnsi="Tahoma" w:cs="Tahoma"/>
        </w:rPr>
        <w:t xml:space="preserve"> de son plat de KS de 0.30 avantagera la hausse. </w:t>
      </w:r>
      <w:r w:rsidR="006420ED">
        <w:rPr>
          <w:rFonts w:ascii="Tahoma" w:hAnsi="Tahoma" w:cs="Tahoma"/>
        </w:rPr>
        <w:t>Au-dessus</w:t>
      </w:r>
      <w:r>
        <w:rPr>
          <w:rFonts w:ascii="Tahoma" w:hAnsi="Tahoma" w:cs="Tahoma"/>
        </w:rPr>
        <w:t xml:space="preserve"> de la KS, le plat de TS de 0.54 servira de pivot sous lequel le taux pourra revenir sur sa KS et </w:t>
      </w:r>
      <w:r w:rsidR="006420ED">
        <w:rPr>
          <w:rFonts w:ascii="Tahoma" w:hAnsi="Tahoma" w:cs="Tahoma"/>
        </w:rPr>
        <w:t>au-dessus</w:t>
      </w:r>
      <w:r>
        <w:rPr>
          <w:rFonts w:ascii="Tahoma" w:hAnsi="Tahoma" w:cs="Tahoma"/>
        </w:rPr>
        <w:t xml:space="preserve"> duquel le marché cherchera à tester la borne basse de son nuage. </w:t>
      </w:r>
    </w:p>
    <w:p w:rsidR="004873C5" w:rsidRDefault="00264CE5" w:rsidP="008631EB">
      <w:pPr>
        <w:jc w:val="both"/>
        <w:rPr>
          <w:rFonts w:ascii="Tahoma" w:hAnsi="Tahoma" w:cs="Tahoma"/>
        </w:rPr>
      </w:pPr>
      <w:r>
        <w:rPr>
          <w:rFonts w:ascii="Tahoma" w:hAnsi="Tahoma" w:cs="Tahoma"/>
        </w:rPr>
        <w:t>En dépassement de 0.65, la LS rencontrera une résistance sur 0.88.</w:t>
      </w:r>
    </w:p>
    <w:p w:rsidR="00FC2714" w:rsidRDefault="00FC2714" w:rsidP="008631EB">
      <w:pPr>
        <w:jc w:val="both"/>
        <w:rPr>
          <w:rFonts w:ascii="Tahoma" w:hAnsi="Tahoma" w:cs="Tahoma"/>
        </w:rPr>
      </w:pPr>
    </w:p>
    <w:p w:rsidR="005600F6" w:rsidRDefault="003A1222" w:rsidP="00457643">
      <w:pPr>
        <w:jc w:val="both"/>
        <w:rPr>
          <w:rFonts w:ascii="Tahoma" w:hAnsi="Tahoma" w:cs="Tahoma"/>
        </w:rPr>
      </w:pPr>
      <w:r w:rsidRPr="008631EB">
        <w:rPr>
          <w:rFonts w:ascii="Arial" w:hAnsi="Arial" w:cs="Arial"/>
          <w:b/>
          <w:bCs/>
        </w:rPr>
        <w:t xml:space="preserve">W : </w:t>
      </w:r>
      <w:r w:rsidR="005600F6">
        <w:rPr>
          <w:rFonts w:ascii="Tahoma" w:hAnsi="Tahoma" w:cs="Tahoma"/>
        </w:rPr>
        <w:t xml:space="preserve">La </w:t>
      </w:r>
      <w:r w:rsidR="00831471">
        <w:rPr>
          <w:rFonts w:ascii="Tahoma" w:hAnsi="Tahoma" w:cs="Tahoma"/>
        </w:rPr>
        <w:t>direction de la TS et la forme plate de la KS nous indiquent que la tendance haussière de moyen terme s’est fortement affaiblie.</w:t>
      </w:r>
    </w:p>
    <w:p w:rsidR="002F4402" w:rsidRPr="008631EB" w:rsidRDefault="00E2226C" w:rsidP="00457643">
      <w:pPr>
        <w:jc w:val="both"/>
        <w:rPr>
          <w:rFonts w:ascii="Tahoma" w:hAnsi="Tahoma" w:cs="Tahoma"/>
        </w:rPr>
      </w:pPr>
      <w:r>
        <w:rPr>
          <w:rFonts w:ascii="Tahoma" w:hAnsi="Tahoma" w:cs="Tahoma"/>
        </w:rPr>
        <w:t>Entre 0.28 et 0.80</w:t>
      </w:r>
      <w:r w:rsidR="002F4402">
        <w:rPr>
          <w:rFonts w:ascii="Tahoma" w:hAnsi="Tahoma" w:cs="Tahoma"/>
        </w:rPr>
        <w:t>, la KS restera plate sur 0.54</w:t>
      </w:r>
      <w:r w:rsidR="00FA5CAD">
        <w:rPr>
          <w:rFonts w:ascii="Tahoma" w:hAnsi="Tahoma" w:cs="Tahoma"/>
        </w:rPr>
        <w:t>.</w:t>
      </w:r>
      <w:r w:rsidR="002F4402">
        <w:rPr>
          <w:rFonts w:ascii="Tahoma" w:hAnsi="Tahoma" w:cs="Tahoma"/>
        </w:rPr>
        <w:t xml:space="preserve"> </w:t>
      </w:r>
      <w:r w:rsidR="00FA5CAD">
        <w:rPr>
          <w:rFonts w:ascii="Tahoma" w:hAnsi="Tahoma" w:cs="Tahoma"/>
        </w:rPr>
        <w:t>Elle</w:t>
      </w:r>
      <w:r>
        <w:rPr>
          <w:rFonts w:ascii="Tahoma" w:hAnsi="Tahoma" w:cs="Tahoma"/>
        </w:rPr>
        <w:t xml:space="preserve"> </w:t>
      </w:r>
      <w:r w:rsidR="002F4402">
        <w:rPr>
          <w:rFonts w:ascii="Tahoma" w:hAnsi="Tahoma" w:cs="Tahoma"/>
        </w:rPr>
        <w:t>servir</w:t>
      </w:r>
      <w:r w:rsidR="00FA5CAD">
        <w:rPr>
          <w:rFonts w:ascii="Tahoma" w:hAnsi="Tahoma" w:cs="Tahoma"/>
        </w:rPr>
        <w:t>a</w:t>
      </w:r>
      <w:r>
        <w:rPr>
          <w:rFonts w:ascii="Tahoma" w:hAnsi="Tahoma" w:cs="Tahoma"/>
        </w:rPr>
        <w:t xml:space="preserve"> de point d’équilibre et</w:t>
      </w:r>
      <w:r w:rsidR="002F4402">
        <w:rPr>
          <w:rFonts w:ascii="Tahoma" w:hAnsi="Tahoma" w:cs="Tahoma"/>
        </w:rPr>
        <w:t xml:space="preserve"> de force de rappel.</w:t>
      </w:r>
      <w:r w:rsidR="007357F8">
        <w:rPr>
          <w:rFonts w:ascii="Tahoma" w:hAnsi="Tahoma" w:cs="Tahoma"/>
        </w:rPr>
        <w:t xml:space="preserve"> La forme de cette courbe laisse peu de place à </w:t>
      </w:r>
      <w:r w:rsidR="00FA5CAD">
        <w:rPr>
          <w:rFonts w:ascii="Tahoma" w:hAnsi="Tahoma" w:cs="Tahoma"/>
        </w:rPr>
        <w:t>des</w:t>
      </w:r>
      <w:r w:rsidR="007357F8">
        <w:rPr>
          <w:rFonts w:ascii="Tahoma" w:hAnsi="Tahoma" w:cs="Tahoma"/>
        </w:rPr>
        <w:t xml:space="preserve"> </w:t>
      </w:r>
      <w:r w:rsidR="006420ED">
        <w:rPr>
          <w:rFonts w:ascii="Tahoma" w:hAnsi="Tahoma" w:cs="Tahoma"/>
        </w:rPr>
        <w:t>ruptures</w:t>
      </w:r>
      <w:r w:rsidR="007357F8">
        <w:rPr>
          <w:rFonts w:ascii="Tahoma" w:hAnsi="Tahoma" w:cs="Tahoma"/>
        </w:rPr>
        <w:t xml:space="preserve"> de support</w:t>
      </w:r>
      <w:r w:rsidR="00FA5CAD">
        <w:rPr>
          <w:rFonts w:ascii="Tahoma" w:hAnsi="Tahoma" w:cs="Tahoma"/>
        </w:rPr>
        <w:t>s</w:t>
      </w:r>
      <w:r w:rsidR="007357F8">
        <w:rPr>
          <w:rFonts w:ascii="Tahoma" w:hAnsi="Tahoma" w:cs="Tahoma"/>
        </w:rPr>
        <w:t xml:space="preserve"> ou de résistance</w:t>
      </w:r>
      <w:r w:rsidR="00FA5CAD">
        <w:rPr>
          <w:rFonts w:ascii="Tahoma" w:hAnsi="Tahoma" w:cs="Tahoma"/>
        </w:rPr>
        <w:t>s</w:t>
      </w:r>
      <w:r w:rsidR="007357F8">
        <w:rPr>
          <w:rFonts w:ascii="Tahoma" w:hAnsi="Tahoma" w:cs="Tahoma"/>
        </w:rPr>
        <w:t xml:space="preserve">. </w:t>
      </w:r>
      <w:r w:rsidR="006420ED">
        <w:rPr>
          <w:rFonts w:ascii="Tahoma" w:hAnsi="Tahoma" w:cs="Tahoma"/>
        </w:rPr>
        <w:t>Au-dessus</w:t>
      </w:r>
      <w:r w:rsidR="007357F8">
        <w:rPr>
          <w:rFonts w:ascii="Tahoma" w:hAnsi="Tahoma" w:cs="Tahoma"/>
        </w:rPr>
        <w:t xml:space="preserve"> de 0.54, un maintien du marché sous la résistance haute de 0.80 est pour le moment le scénario le plus probable. </w:t>
      </w:r>
    </w:p>
    <w:p w:rsidR="00A82504" w:rsidRDefault="00A82504" w:rsidP="008631EB">
      <w:pPr>
        <w:jc w:val="both"/>
        <w:rPr>
          <w:rFonts w:ascii="Tahoma" w:hAnsi="Tahoma" w:cs="Tahoma"/>
        </w:rPr>
      </w:pPr>
    </w:p>
    <w:p w:rsidR="00256885" w:rsidRDefault="00A82504" w:rsidP="00457643">
      <w:pPr>
        <w:jc w:val="both"/>
        <w:rPr>
          <w:rFonts w:ascii="Tahoma" w:hAnsi="Tahoma" w:cs="Tahoma"/>
        </w:rPr>
      </w:pPr>
      <w:r w:rsidRPr="008631EB">
        <w:rPr>
          <w:rFonts w:ascii="Arial" w:hAnsi="Arial" w:cs="Arial"/>
          <w:b/>
          <w:bCs/>
        </w:rPr>
        <w:t xml:space="preserve">D : </w:t>
      </w:r>
      <w:r w:rsidR="00E249A2">
        <w:rPr>
          <w:rFonts w:ascii="Tahoma" w:hAnsi="Tahoma" w:cs="Tahoma"/>
        </w:rPr>
        <w:t>Les plats sont toujours des points diff</w:t>
      </w:r>
      <w:r w:rsidR="00FA5CAD">
        <w:rPr>
          <w:rFonts w:ascii="Tahoma" w:hAnsi="Tahoma" w:cs="Tahoma"/>
        </w:rPr>
        <w:t>i</w:t>
      </w:r>
      <w:r w:rsidR="00E249A2">
        <w:rPr>
          <w:rFonts w:ascii="Tahoma" w:hAnsi="Tahoma" w:cs="Tahoma"/>
        </w:rPr>
        <w:t xml:space="preserve">ciles à passer. Ils le sont d’autant plus que les unités de temps supérieures ne sont pas en tendance. </w:t>
      </w:r>
    </w:p>
    <w:p w:rsidR="00E249A2" w:rsidRDefault="00E249A2" w:rsidP="00457643">
      <w:pPr>
        <w:jc w:val="both"/>
        <w:rPr>
          <w:rFonts w:ascii="Tahoma" w:hAnsi="Tahoma" w:cs="Tahoma"/>
        </w:rPr>
      </w:pPr>
      <w:r>
        <w:rPr>
          <w:rFonts w:ascii="Tahoma" w:hAnsi="Tahoma" w:cs="Tahoma"/>
        </w:rPr>
        <w:t xml:space="preserve">Sur le court terme, le plat de SSB de 0.64 sert de résistance. Il maintient le 10 ans Euro dans sa zone d’équilibre de court terme </w:t>
      </w:r>
      <w:r w:rsidR="004F35A1">
        <w:rPr>
          <w:rFonts w:ascii="Tahoma" w:hAnsi="Tahoma" w:cs="Tahoma"/>
        </w:rPr>
        <w:t>dont la partie basse sera comprise cette semaine sur 0.54.</w:t>
      </w:r>
    </w:p>
    <w:p w:rsidR="00F72829" w:rsidRPr="00FA5CAD" w:rsidRDefault="00256885" w:rsidP="00F72829">
      <w:pPr>
        <w:jc w:val="both"/>
        <w:rPr>
          <w:rFonts w:ascii="Tahoma" w:hAnsi="Tahoma" w:cs="Tahoma"/>
        </w:rPr>
      </w:pPr>
      <w:r>
        <w:rPr>
          <w:rFonts w:ascii="Tahoma" w:hAnsi="Tahoma" w:cs="Tahoma"/>
        </w:rPr>
        <w:t xml:space="preserve"> </w:t>
      </w:r>
      <w:r w:rsidR="00A82504" w:rsidRPr="008631EB">
        <w:rPr>
          <w:rFonts w:ascii="Tahoma" w:hAnsi="Tahoma" w:cs="Tahoma"/>
          <w:bCs/>
        </w:rPr>
        <w:t xml:space="preserve"> </w:t>
      </w:r>
    </w:p>
    <w:p w:rsidR="00A30EF5" w:rsidRPr="007D3A98" w:rsidRDefault="00F72829" w:rsidP="00732E1A">
      <w:pPr>
        <w:jc w:val="both"/>
        <w:rPr>
          <w:rFonts w:ascii="Arial" w:hAnsi="Arial" w:cs="Arial"/>
          <w:b/>
          <w:color w:val="FF0000"/>
        </w:rPr>
      </w:pPr>
      <w:r w:rsidRPr="00A73D56">
        <w:rPr>
          <w:rFonts w:ascii="Arial" w:hAnsi="Arial" w:cs="Arial"/>
          <w:b/>
          <w:color w:val="00B050"/>
          <w:u w:val="single"/>
        </w:rPr>
        <w:t>HEBDOMADAIRE</w:t>
      </w:r>
      <w:r w:rsidRPr="00A73D56">
        <w:rPr>
          <w:rFonts w:ascii="Arial" w:hAnsi="Arial" w:cs="Arial"/>
          <w:b/>
          <w:color w:val="00B050"/>
        </w:rPr>
        <w:t xml:space="preserve"> : </w:t>
      </w:r>
      <w:r w:rsidR="004411EA">
        <w:rPr>
          <w:rFonts w:ascii="Arial" w:hAnsi="Arial" w:cs="Arial"/>
          <w:b/>
          <w:color w:val="00B050"/>
        </w:rPr>
        <w:t xml:space="preserve">La hausse peut </w:t>
      </w:r>
      <w:r w:rsidR="006420ED">
        <w:rPr>
          <w:rFonts w:ascii="Arial" w:hAnsi="Arial" w:cs="Arial"/>
          <w:b/>
          <w:color w:val="00B050"/>
        </w:rPr>
        <w:t>être</w:t>
      </w:r>
      <w:r w:rsidR="004411EA">
        <w:rPr>
          <w:rFonts w:ascii="Arial" w:hAnsi="Arial" w:cs="Arial"/>
          <w:b/>
          <w:color w:val="00B050"/>
        </w:rPr>
        <w:t xml:space="preserve"> envisagée </w:t>
      </w:r>
      <w:r w:rsidR="006420ED">
        <w:rPr>
          <w:rFonts w:ascii="Arial" w:hAnsi="Arial" w:cs="Arial"/>
          <w:b/>
          <w:color w:val="00B050"/>
        </w:rPr>
        <w:t>au-dessus</w:t>
      </w:r>
      <w:r w:rsidR="004411EA">
        <w:rPr>
          <w:rFonts w:ascii="Arial" w:hAnsi="Arial" w:cs="Arial"/>
          <w:b/>
          <w:color w:val="00B050"/>
        </w:rPr>
        <w:t xml:space="preserve"> de 0.54 mais l’absence de tendance sur les unités de temps supérieures la limitera au précédent haut de 0.80. Sur le court terme le dépassement de 0.64 sera </w:t>
      </w:r>
      <w:r w:rsidR="006420ED">
        <w:rPr>
          <w:rFonts w:ascii="Arial" w:hAnsi="Arial" w:cs="Arial"/>
          <w:b/>
          <w:color w:val="00B050"/>
        </w:rPr>
        <w:t>nécessaire</w:t>
      </w:r>
      <w:r w:rsidR="004411EA">
        <w:rPr>
          <w:rFonts w:ascii="Arial" w:hAnsi="Arial" w:cs="Arial"/>
          <w:b/>
          <w:color w:val="00B050"/>
        </w:rPr>
        <w:t xml:space="preserve"> pour envisager l’objectif de 0.80, sinon retour sur 0.54.</w:t>
      </w:r>
    </w:p>
    <w:p w:rsidR="00A30EF5" w:rsidRPr="00BA460B" w:rsidRDefault="00A30EF5" w:rsidP="00F72829">
      <w:pPr>
        <w:jc w:val="both"/>
        <w:rPr>
          <w:rFonts w:ascii="Tahoma" w:hAnsi="Tahoma" w:cs="Tahoma"/>
        </w:rPr>
      </w:pPr>
      <w:bookmarkStart w:id="1" w:name="_GoBack"/>
      <w:bookmarkEnd w:id="1"/>
    </w:p>
    <w:p w:rsidR="00F72829" w:rsidRPr="008F40E5" w:rsidRDefault="004E02D3" w:rsidP="008F40E5">
      <w:pPr>
        <w:jc w:val="both"/>
        <w:rPr>
          <w:rFonts w:ascii="Arial" w:hAnsi="Arial" w:cs="Arial"/>
          <w:b/>
          <w:bCs/>
          <w:sz w:val="36"/>
          <w:szCs w:val="36"/>
          <w:u w:val="single"/>
        </w:rPr>
      </w:pPr>
      <w:r w:rsidRPr="006A43AF">
        <w:rPr>
          <w:rFonts w:ascii="Arial" w:hAnsi="Arial" w:cs="Arial"/>
          <w:b/>
          <w:bCs/>
          <w:sz w:val="28"/>
          <w:szCs w:val="28"/>
        </w:rPr>
        <w:t xml:space="preserve"> </w:t>
      </w:r>
      <w:r w:rsidR="00F72829" w:rsidRPr="006A43AF">
        <w:rPr>
          <w:rFonts w:ascii="Arial" w:hAnsi="Arial" w:cs="Arial"/>
          <w:b/>
          <w:bCs/>
          <w:sz w:val="28"/>
          <w:szCs w:val="28"/>
        </w:rPr>
        <w:t xml:space="preserve">                                     </w:t>
      </w:r>
      <w:r w:rsidR="00F72829" w:rsidRPr="006A43AF">
        <w:rPr>
          <w:rFonts w:ascii="Arial" w:hAnsi="Arial" w:cs="Arial"/>
          <w:b/>
          <w:bCs/>
          <w:sz w:val="36"/>
          <w:szCs w:val="36"/>
          <w:u w:val="single"/>
        </w:rPr>
        <w:t xml:space="preserve">10 ans USA </w:t>
      </w:r>
    </w:p>
    <w:p w:rsidR="00F72829" w:rsidRPr="00D3102B" w:rsidRDefault="00F72829" w:rsidP="00BE257A">
      <w:pPr>
        <w:jc w:val="both"/>
        <w:rPr>
          <w:rFonts w:ascii="Arial" w:hAnsi="Arial" w:cs="Arial"/>
          <w:b/>
          <w:sz w:val="28"/>
          <w:szCs w:val="28"/>
          <w:u w:val="single"/>
        </w:rPr>
      </w:pPr>
      <w:r w:rsidRPr="00D3102B">
        <w:rPr>
          <w:rFonts w:ascii="Arial" w:hAnsi="Arial" w:cs="Arial"/>
          <w:b/>
          <w:sz w:val="28"/>
          <w:szCs w:val="28"/>
          <w:u w:val="single"/>
        </w:rPr>
        <w:t>Monthly</w:t>
      </w:r>
    </w:p>
    <w:p w:rsidR="00B03AED" w:rsidRPr="00D3102B" w:rsidRDefault="00EB3109" w:rsidP="00B65AF1">
      <w:pPr>
        <w:ind w:left="-283"/>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10218" cy="4191000"/>
            <wp:effectExtent l="0" t="0" r="0" b="0"/>
            <wp:docPr id="5" name="Image 5" descr="C:\Temp\Bloomberg\temp\bfmD61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D61C.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19120" cy="4196560"/>
                    </a:xfrm>
                    <a:prstGeom prst="rect">
                      <a:avLst/>
                    </a:prstGeom>
                    <a:noFill/>
                    <a:ln>
                      <a:noFill/>
                    </a:ln>
                  </pic:spPr>
                </pic:pic>
              </a:graphicData>
            </a:graphic>
          </wp:inline>
        </w:drawing>
      </w:r>
    </w:p>
    <w:p w:rsidR="00B03AED" w:rsidRPr="00D3102B" w:rsidRDefault="00B03AED" w:rsidP="006E6472">
      <w:pPr>
        <w:jc w:val="both"/>
        <w:rPr>
          <w:rFonts w:ascii="Arial" w:hAnsi="Arial" w:cs="Arial"/>
          <w:b/>
          <w:bCs/>
          <w:sz w:val="28"/>
          <w:szCs w:val="28"/>
          <w:u w:val="single"/>
        </w:rPr>
      </w:pPr>
      <w:r w:rsidRPr="00D3102B">
        <w:rPr>
          <w:rFonts w:ascii="Arial" w:hAnsi="Arial" w:cs="Arial"/>
          <w:b/>
          <w:bCs/>
          <w:sz w:val="28"/>
          <w:szCs w:val="28"/>
          <w:u w:val="single"/>
        </w:rPr>
        <w:t>Weekly</w:t>
      </w:r>
    </w:p>
    <w:p w:rsidR="006E6472" w:rsidRPr="00D3102B" w:rsidRDefault="00EB3109" w:rsidP="00B65AF1">
      <w:pPr>
        <w:ind w:left="-283"/>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50990" cy="4506686"/>
            <wp:effectExtent l="0" t="0" r="0" b="8255"/>
            <wp:docPr id="6" name="Image 6" descr="C:\Temp\Bloomberg\temp\bfm36D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36D5.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0179" cy="4512912"/>
                    </a:xfrm>
                    <a:prstGeom prst="rect">
                      <a:avLst/>
                    </a:prstGeom>
                    <a:noFill/>
                    <a:ln>
                      <a:noFill/>
                    </a:ln>
                  </pic:spPr>
                </pic:pic>
              </a:graphicData>
            </a:graphic>
          </wp:inline>
        </w:drawing>
      </w:r>
    </w:p>
    <w:p w:rsidR="00B03AED" w:rsidRPr="007658F2" w:rsidRDefault="00A30EF5" w:rsidP="006E6472">
      <w:pPr>
        <w:ind w:left="-850"/>
        <w:jc w:val="both"/>
        <w:rPr>
          <w:rFonts w:ascii="Arial" w:hAnsi="Arial" w:cs="Arial"/>
          <w:b/>
          <w:bCs/>
          <w:sz w:val="28"/>
          <w:szCs w:val="28"/>
          <w:u w:val="single"/>
        </w:rPr>
      </w:pPr>
      <w:r w:rsidRPr="00D3102B">
        <w:rPr>
          <w:rFonts w:ascii="Arial" w:hAnsi="Arial" w:cs="Arial"/>
          <w:b/>
          <w:bCs/>
          <w:sz w:val="28"/>
          <w:szCs w:val="28"/>
        </w:rPr>
        <w:t xml:space="preserve">       </w:t>
      </w:r>
      <w:r w:rsidR="00B4277F" w:rsidRPr="00D3102B">
        <w:rPr>
          <w:rFonts w:ascii="Arial" w:hAnsi="Arial" w:cs="Arial"/>
          <w:b/>
          <w:bCs/>
          <w:sz w:val="28"/>
          <w:szCs w:val="28"/>
        </w:rPr>
        <w:t xml:space="preserve">   </w:t>
      </w:r>
      <w:r w:rsidR="00B03AED" w:rsidRPr="00D3102B">
        <w:rPr>
          <w:rFonts w:ascii="Arial" w:hAnsi="Arial" w:cs="Arial"/>
          <w:b/>
          <w:bCs/>
          <w:sz w:val="28"/>
          <w:szCs w:val="28"/>
          <w:u w:val="single"/>
        </w:rPr>
        <w:t>Dail</w:t>
      </w:r>
      <w:r w:rsidR="00B03AED" w:rsidRPr="007658F2">
        <w:rPr>
          <w:rFonts w:ascii="Arial" w:hAnsi="Arial" w:cs="Arial"/>
          <w:b/>
          <w:bCs/>
          <w:sz w:val="28"/>
          <w:szCs w:val="28"/>
          <w:u w:val="single"/>
        </w:rPr>
        <w:t xml:space="preserve">y </w:t>
      </w:r>
    </w:p>
    <w:p w:rsidR="002308C6" w:rsidRPr="006A43AF" w:rsidRDefault="00EB3109" w:rsidP="00B65AF1">
      <w:pPr>
        <w:ind w:left="-283"/>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51625" cy="4142014"/>
            <wp:effectExtent l="0" t="0" r="0" b="0"/>
            <wp:docPr id="7" name="Image 7" descr="C:\Temp\Bloomberg\temp\bfm8DD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8DDB.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93307" cy="4167969"/>
                    </a:xfrm>
                    <a:prstGeom prst="rect">
                      <a:avLst/>
                    </a:prstGeom>
                    <a:noFill/>
                    <a:ln>
                      <a:noFill/>
                    </a:ln>
                  </pic:spPr>
                </pic:pic>
              </a:graphicData>
            </a:graphic>
          </wp:inline>
        </w:drawing>
      </w:r>
    </w:p>
    <w:p w:rsidR="003B75F0" w:rsidRDefault="00D2583B" w:rsidP="00D2583B">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3B75F0">
        <w:rPr>
          <w:rFonts w:ascii="Tahoma" w:hAnsi="Tahoma" w:cs="Tahoma"/>
        </w:rPr>
        <w:t xml:space="preserve">Le contexte est haussier sur le long terme et seul un retour de la LS sous 2.69 </w:t>
      </w:r>
      <w:r w:rsidR="004801A4">
        <w:rPr>
          <w:rFonts w:ascii="Tahoma" w:hAnsi="Tahoma" w:cs="Tahoma"/>
        </w:rPr>
        <w:t>nous alertera sur la possibilité de voir le 10 ans US remettre en question cet environnement.</w:t>
      </w:r>
    </w:p>
    <w:p w:rsidR="004801A4" w:rsidRDefault="004801A4" w:rsidP="004801A4">
      <w:pPr>
        <w:tabs>
          <w:tab w:val="left" w:pos="5868"/>
        </w:tabs>
        <w:autoSpaceDE w:val="0"/>
        <w:jc w:val="both"/>
        <w:rPr>
          <w:rFonts w:ascii="Tahoma" w:hAnsi="Tahoma" w:cs="Tahoma"/>
        </w:rPr>
      </w:pPr>
      <w:r>
        <w:rPr>
          <w:rFonts w:ascii="Tahoma" w:hAnsi="Tahoma" w:cs="Tahoma"/>
        </w:rPr>
        <w:t xml:space="preserve">Le dépassement du précédent haut de 3.05 ouvre la voie à une prolongation </w:t>
      </w:r>
      <w:r w:rsidR="008F40E5">
        <w:rPr>
          <w:rFonts w:ascii="Tahoma" w:hAnsi="Tahoma" w:cs="Tahoma"/>
        </w:rPr>
        <w:t>du mouvement</w:t>
      </w:r>
      <w:r>
        <w:rPr>
          <w:rFonts w:ascii="Tahoma" w:hAnsi="Tahoma" w:cs="Tahoma"/>
        </w:rPr>
        <w:t xml:space="preserve"> en direction de la résistance matérialisée par le plat de nuage passé de 3.67.</w:t>
      </w:r>
    </w:p>
    <w:p w:rsidR="00D2583B" w:rsidRDefault="00D8157E" w:rsidP="00D2583B">
      <w:pPr>
        <w:tabs>
          <w:tab w:val="left" w:pos="5868"/>
        </w:tabs>
        <w:autoSpaceDE w:val="0"/>
        <w:jc w:val="both"/>
        <w:rPr>
          <w:rFonts w:ascii="Tahoma" w:hAnsi="Tahoma" w:cs="Tahoma"/>
        </w:rPr>
      </w:pPr>
      <w:r>
        <w:rPr>
          <w:rFonts w:ascii="Tahoma" w:hAnsi="Tahoma" w:cs="Tahoma"/>
        </w:rPr>
        <w:t xml:space="preserve">Attention à l’écart un peu trop important entre le taux et la TS </w:t>
      </w:r>
      <w:r w:rsidR="00912E53">
        <w:rPr>
          <w:rFonts w:ascii="Tahoma" w:hAnsi="Tahoma" w:cs="Tahoma"/>
        </w:rPr>
        <w:t>ainsi que</w:t>
      </w:r>
      <w:r>
        <w:rPr>
          <w:rFonts w:ascii="Tahoma" w:hAnsi="Tahoma" w:cs="Tahoma"/>
        </w:rPr>
        <w:t xml:space="preserve"> la TS et la KS. De par sa construction, le premier devrait s’</w:t>
      </w:r>
      <w:r w:rsidR="006420ED">
        <w:rPr>
          <w:rFonts w:ascii="Tahoma" w:hAnsi="Tahoma" w:cs="Tahoma"/>
        </w:rPr>
        <w:t>atténuer</w:t>
      </w:r>
      <w:r>
        <w:rPr>
          <w:rFonts w:ascii="Tahoma" w:hAnsi="Tahoma" w:cs="Tahoma"/>
        </w:rPr>
        <w:t xml:space="preserve"> dans une dizaine de jour. Le second restera </w:t>
      </w:r>
      <w:r w:rsidR="008F40E5">
        <w:rPr>
          <w:rFonts w:ascii="Tahoma" w:hAnsi="Tahoma" w:cs="Tahoma"/>
        </w:rPr>
        <w:t xml:space="preserve">relativement </w:t>
      </w:r>
      <w:r>
        <w:rPr>
          <w:rFonts w:ascii="Tahoma" w:hAnsi="Tahoma" w:cs="Tahoma"/>
        </w:rPr>
        <w:t xml:space="preserve">important. Ces deux courbes pointent vers le haut et soutiennent le mouvement. Pour autant, </w:t>
      </w:r>
      <w:r w:rsidR="00401C1D">
        <w:rPr>
          <w:rFonts w:ascii="Tahoma" w:hAnsi="Tahoma" w:cs="Tahoma"/>
        </w:rPr>
        <w:t xml:space="preserve">ce contexte surtendu </w:t>
      </w:r>
      <w:r w:rsidR="006420ED">
        <w:rPr>
          <w:rFonts w:ascii="Tahoma" w:hAnsi="Tahoma" w:cs="Tahoma"/>
        </w:rPr>
        <w:t>nécessitera</w:t>
      </w:r>
      <w:r>
        <w:rPr>
          <w:rFonts w:ascii="Tahoma" w:hAnsi="Tahoma" w:cs="Tahoma"/>
        </w:rPr>
        <w:t xml:space="preserve"> une correction </w:t>
      </w:r>
      <w:r w:rsidR="00401C1D">
        <w:rPr>
          <w:rFonts w:ascii="Tahoma" w:hAnsi="Tahoma" w:cs="Tahoma"/>
        </w:rPr>
        <w:t>pour</w:t>
      </w:r>
      <w:r>
        <w:rPr>
          <w:rFonts w:ascii="Tahoma" w:hAnsi="Tahoma" w:cs="Tahoma"/>
        </w:rPr>
        <w:t xml:space="preserve"> </w:t>
      </w:r>
      <w:r w:rsidR="008F40E5">
        <w:rPr>
          <w:rFonts w:ascii="Tahoma" w:hAnsi="Tahoma" w:cs="Tahoma"/>
        </w:rPr>
        <w:t>envisager une</w:t>
      </w:r>
      <w:r>
        <w:rPr>
          <w:rFonts w:ascii="Tahoma" w:hAnsi="Tahoma" w:cs="Tahoma"/>
        </w:rPr>
        <w:t xml:space="preserve"> hauss</w:t>
      </w:r>
      <w:r w:rsidR="008F40E5">
        <w:rPr>
          <w:rFonts w:ascii="Tahoma" w:hAnsi="Tahoma" w:cs="Tahoma"/>
        </w:rPr>
        <w:t>e</w:t>
      </w:r>
      <w:r>
        <w:rPr>
          <w:rFonts w:ascii="Tahoma" w:hAnsi="Tahoma" w:cs="Tahoma"/>
        </w:rPr>
        <w:t xml:space="preserve"> </w:t>
      </w:r>
      <w:r w:rsidR="00B83D1C">
        <w:rPr>
          <w:rFonts w:ascii="Tahoma" w:hAnsi="Tahoma" w:cs="Tahoma"/>
        </w:rPr>
        <w:t>plus robuste</w:t>
      </w:r>
      <w:r w:rsidR="008F40E5">
        <w:rPr>
          <w:rFonts w:ascii="Tahoma" w:hAnsi="Tahoma" w:cs="Tahoma"/>
        </w:rPr>
        <w:t>.</w:t>
      </w:r>
    </w:p>
    <w:p w:rsidR="00D8157E" w:rsidRDefault="00D8157E" w:rsidP="00D2583B">
      <w:pPr>
        <w:tabs>
          <w:tab w:val="left" w:pos="5868"/>
        </w:tabs>
        <w:autoSpaceDE w:val="0"/>
        <w:jc w:val="both"/>
        <w:rPr>
          <w:rFonts w:ascii="Tahoma" w:hAnsi="Tahoma" w:cs="Tahoma"/>
        </w:rPr>
      </w:pPr>
    </w:p>
    <w:p w:rsidR="00C76EFA" w:rsidRDefault="00D2583B" w:rsidP="00457643">
      <w:pPr>
        <w:jc w:val="both"/>
        <w:rPr>
          <w:rFonts w:ascii="Tahoma" w:hAnsi="Tahoma" w:cs="Tahoma"/>
          <w:bCs/>
        </w:rPr>
      </w:pPr>
      <w:bookmarkStart w:id="2" w:name="_Hlk510791573"/>
      <w:r w:rsidRPr="00F950A8">
        <w:rPr>
          <w:rFonts w:ascii="Arial" w:hAnsi="Arial" w:cs="Arial"/>
          <w:b/>
          <w:bCs/>
        </w:rPr>
        <w:t xml:space="preserve">W : </w:t>
      </w:r>
      <w:r w:rsidR="00500A6D">
        <w:rPr>
          <w:rFonts w:ascii="Tahoma" w:hAnsi="Tahoma" w:cs="Tahoma"/>
          <w:bCs/>
        </w:rPr>
        <w:t>Le</w:t>
      </w:r>
      <w:r w:rsidR="003411EA">
        <w:rPr>
          <w:rFonts w:ascii="Tahoma" w:hAnsi="Tahoma" w:cs="Tahoma"/>
          <w:bCs/>
        </w:rPr>
        <w:t xml:space="preserve"> 10 ans US a </w:t>
      </w:r>
      <w:r w:rsidR="00B83D1C">
        <w:rPr>
          <w:rFonts w:ascii="Tahoma" w:hAnsi="Tahoma" w:cs="Tahoma"/>
          <w:bCs/>
        </w:rPr>
        <w:t xml:space="preserve">dépassé </w:t>
      </w:r>
      <w:r w:rsidR="003411EA">
        <w:rPr>
          <w:rFonts w:ascii="Tahoma" w:hAnsi="Tahoma" w:cs="Tahoma"/>
          <w:bCs/>
        </w:rPr>
        <w:t>la résistance de 3.05</w:t>
      </w:r>
      <w:r w:rsidR="00B83D1C">
        <w:rPr>
          <w:rFonts w:ascii="Tahoma" w:hAnsi="Tahoma" w:cs="Tahoma"/>
          <w:bCs/>
        </w:rPr>
        <w:t xml:space="preserve"> avant de venir </w:t>
      </w:r>
      <w:r w:rsidR="006420ED">
        <w:rPr>
          <w:rFonts w:ascii="Tahoma" w:hAnsi="Tahoma" w:cs="Tahoma"/>
          <w:bCs/>
        </w:rPr>
        <w:t>clôturer</w:t>
      </w:r>
      <w:r w:rsidR="00B83D1C">
        <w:rPr>
          <w:rFonts w:ascii="Tahoma" w:hAnsi="Tahoma" w:cs="Tahoma"/>
          <w:bCs/>
        </w:rPr>
        <w:t xml:space="preserve"> sur ce point</w:t>
      </w:r>
      <w:r w:rsidR="003411EA">
        <w:rPr>
          <w:rFonts w:ascii="Tahoma" w:hAnsi="Tahoma" w:cs="Tahoma"/>
          <w:bCs/>
        </w:rPr>
        <w:t xml:space="preserve">. Cette rupture place le marché dans un environnement de poursuite de la hausse en direction du précédent sommet de février 2011 de 3.76. </w:t>
      </w:r>
    </w:p>
    <w:p w:rsidR="009F62C1" w:rsidRDefault="00B83D1C" w:rsidP="00457643">
      <w:pPr>
        <w:jc w:val="both"/>
        <w:rPr>
          <w:rFonts w:ascii="Tahoma" w:hAnsi="Tahoma" w:cs="Tahoma"/>
          <w:bCs/>
        </w:rPr>
      </w:pPr>
      <w:r>
        <w:rPr>
          <w:rFonts w:ascii="Tahoma" w:hAnsi="Tahoma" w:cs="Tahoma"/>
          <w:bCs/>
        </w:rPr>
        <w:t xml:space="preserve">De par leur évolution </w:t>
      </w:r>
      <w:r w:rsidR="006420ED">
        <w:rPr>
          <w:rFonts w:ascii="Tahoma" w:hAnsi="Tahoma" w:cs="Tahoma"/>
          <w:bCs/>
        </w:rPr>
        <w:t>parallèle</w:t>
      </w:r>
      <w:r w:rsidR="003B7952">
        <w:rPr>
          <w:rFonts w:ascii="Tahoma" w:hAnsi="Tahoma" w:cs="Tahoma"/>
          <w:bCs/>
        </w:rPr>
        <w:t>,</w:t>
      </w:r>
      <w:r>
        <w:rPr>
          <w:rFonts w:ascii="Tahoma" w:hAnsi="Tahoma" w:cs="Tahoma"/>
          <w:bCs/>
        </w:rPr>
        <w:t xml:space="preserve"> </w:t>
      </w:r>
      <w:r w:rsidR="00C76EFA">
        <w:rPr>
          <w:rFonts w:ascii="Tahoma" w:hAnsi="Tahoma" w:cs="Tahoma"/>
          <w:bCs/>
        </w:rPr>
        <w:t>TS et KS soutiennent le mouvement haussier.</w:t>
      </w:r>
      <w:r w:rsidR="009F62C1">
        <w:rPr>
          <w:rFonts w:ascii="Tahoma" w:hAnsi="Tahoma" w:cs="Tahoma"/>
          <w:bCs/>
        </w:rPr>
        <w:t xml:space="preserve"> Le marché colle à la TS qui représente le mouvement le plus récent. Les passages de la TS sont restés limités et depuis le début de l’année, la KS n’a jamais été testée.</w:t>
      </w:r>
    </w:p>
    <w:p w:rsidR="00EE71A6" w:rsidRDefault="009F62C1" w:rsidP="00457643">
      <w:pPr>
        <w:jc w:val="both"/>
        <w:rPr>
          <w:rFonts w:ascii="Tahoma" w:hAnsi="Tahoma" w:cs="Tahoma"/>
          <w:bCs/>
        </w:rPr>
      </w:pPr>
      <w:r>
        <w:rPr>
          <w:rFonts w:ascii="Tahoma" w:hAnsi="Tahoma" w:cs="Tahoma"/>
          <w:bCs/>
        </w:rPr>
        <w:t xml:space="preserve">Dans ce contexte une correction devra se limiter à 3.05 et dans une logique d’inversion des polarités, le biais haussier sera maintenu tant que le taux se maintiendra </w:t>
      </w:r>
      <w:r w:rsidR="006420ED">
        <w:rPr>
          <w:rFonts w:ascii="Tahoma" w:hAnsi="Tahoma" w:cs="Tahoma"/>
          <w:bCs/>
        </w:rPr>
        <w:t>au-dessus</w:t>
      </w:r>
      <w:r>
        <w:rPr>
          <w:rFonts w:ascii="Tahoma" w:hAnsi="Tahoma" w:cs="Tahoma"/>
          <w:bCs/>
        </w:rPr>
        <w:t xml:space="preserve"> de cette ancienne résistance devenue support.  </w:t>
      </w:r>
      <w:r w:rsidR="00500A6D">
        <w:rPr>
          <w:rFonts w:ascii="Tahoma" w:hAnsi="Tahoma" w:cs="Tahoma"/>
          <w:bCs/>
        </w:rPr>
        <w:t xml:space="preserve"> </w:t>
      </w:r>
      <w:r w:rsidR="008E220D">
        <w:rPr>
          <w:rFonts w:ascii="Tahoma" w:hAnsi="Tahoma" w:cs="Tahoma"/>
          <w:bCs/>
        </w:rPr>
        <w:t xml:space="preserve"> </w:t>
      </w:r>
    </w:p>
    <w:p w:rsidR="001259C9" w:rsidRPr="00934473" w:rsidRDefault="001259C9" w:rsidP="001259C9">
      <w:pPr>
        <w:jc w:val="both"/>
        <w:rPr>
          <w:rFonts w:ascii="Arial" w:hAnsi="Arial" w:cs="Arial"/>
          <w:b/>
          <w:bCs/>
          <w:sz w:val="28"/>
          <w:szCs w:val="28"/>
          <w:u w:val="single"/>
        </w:rPr>
      </w:pPr>
    </w:p>
    <w:p w:rsidR="002D3EC9" w:rsidRPr="00F950A8" w:rsidRDefault="00CF7FF8" w:rsidP="00457643">
      <w:pPr>
        <w:jc w:val="both"/>
        <w:rPr>
          <w:rFonts w:ascii="Tahoma" w:hAnsi="Tahoma" w:cs="Tahoma"/>
          <w:bCs/>
        </w:rPr>
      </w:pPr>
      <w:r w:rsidRPr="00F950A8">
        <w:rPr>
          <w:rFonts w:ascii="Arial" w:hAnsi="Arial" w:cs="Arial"/>
          <w:b/>
          <w:bCs/>
        </w:rPr>
        <w:t xml:space="preserve">D : </w:t>
      </w:r>
      <w:r w:rsidR="006C0FF6">
        <w:rPr>
          <w:rFonts w:ascii="Tahoma" w:hAnsi="Tahoma" w:cs="Tahoma"/>
          <w:bCs/>
        </w:rPr>
        <w:t xml:space="preserve">Le </w:t>
      </w:r>
      <w:r w:rsidR="00DB248E">
        <w:rPr>
          <w:rFonts w:ascii="Tahoma" w:hAnsi="Tahoma" w:cs="Tahoma"/>
          <w:bCs/>
        </w:rPr>
        <w:t>contexte est haussier sur le court terme. La baisse de la dernière journée de la semaine reste limitée et le retour du taux en direction de sa TS permet au marché réduire l’environnement sur tendu sur cette unité de temps.</w:t>
      </w:r>
    </w:p>
    <w:bookmarkEnd w:id="2"/>
    <w:p w:rsidR="0093766C" w:rsidRPr="006E6472" w:rsidRDefault="00CF7FF8" w:rsidP="006E6472">
      <w:pPr>
        <w:jc w:val="both"/>
        <w:rPr>
          <w:rFonts w:ascii="Tahoma" w:hAnsi="Tahoma" w:cs="Tahoma"/>
          <w:bCs/>
        </w:rPr>
      </w:pPr>
      <w:r w:rsidRPr="00F950A8">
        <w:rPr>
          <w:rFonts w:ascii="Tahoma" w:hAnsi="Tahoma" w:cs="Tahoma"/>
          <w:bCs/>
        </w:rPr>
        <w:t xml:space="preserve">  </w:t>
      </w:r>
    </w:p>
    <w:p w:rsidR="00FC088B" w:rsidRDefault="00F72829" w:rsidP="00D43DAB">
      <w:pPr>
        <w:jc w:val="both"/>
        <w:rPr>
          <w:rFonts w:ascii="Arial" w:hAnsi="Arial" w:cs="Arial"/>
          <w:b/>
          <w:color w:val="00B050"/>
        </w:rPr>
      </w:pPr>
      <w:r w:rsidRPr="00D15C83">
        <w:rPr>
          <w:rFonts w:ascii="Arial" w:hAnsi="Arial" w:cs="Arial"/>
          <w:b/>
          <w:color w:val="00B050"/>
          <w:u w:val="single"/>
        </w:rPr>
        <w:t>HEBDOMADAIRE</w:t>
      </w:r>
      <w:r w:rsidRPr="00D15C83">
        <w:rPr>
          <w:rFonts w:ascii="Arial" w:hAnsi="Arial" w:cs="Arial"/>
          <w:b/>
          <w:color w:val="00B050"/>
        </w:rPr>
        <w:t xml:space="preserve"> : </w:t>
      </w:r>
      <w:r w:rsidR="00FC088B">
        <w:rPr>
          <w:rFonts w:ascii="Arial" w:hAnsi="Arial" w:cs="Arial"/>
          <w:b/>
          <w:color w:val="00B050"/>
        </w:rPr>
        <w:t xml:space="preserve">Le 10 ans US a </w:t>
      </w:r>
      <w:r w:rsidR="003B7952">
        <w:rPr>
          <w:rFonts w:ascii="Arial" w:hAnsi="Arial" w:cs="Arial"/>
          <w:b/>
          <w:color w:val="00B050"/>
        </w:rPr>
        <w:t>dépassé</w:t>
      </w:r>
      <w:r w:rsidR="00FC088B">
        <w:rPr>
          <w:rFonts w:ascii="Arial" w:hAnsi="Arial" w:cs="Arial"/>
          <w:b/>
          <w:color w:val="00B050"/>
        </w:rPr>
        <w:t xml:space="preserve"> sa résistance de long terme de 3.05.</w:t>
      </w:r>
      <w:r w:rsidR="003B7952">
        <w:rPr>
          <w:rFonts w:ascii="Arial" w:hAnsi="Arial" w:cs="Arial"/>
          <w:b/>
          <w:color w:val="00B050"/>
        </w:rPr>
        <w:t xml:space="preserve"> </w:t>
      </w:r>
      <w:r w:rsidR="00FC088B">
        <w:rPr>
          <w:rFonts w:ascii="Arial" w:hAnsi="Arial" w:cs="Arial"/>
          <w:b/>
          <w:color w:val="00B050"/>
        </w:rPr>
        <w:t xml:space="preserve">La validation de cette rupture passera par un maintien du taux </w:t>
      </w:r>
      <w:r w:rsidR="006420ED">
        <w:rPr>
          <w:rFonts w:ascii="Arial" w:hAnsi="Arial" w:cs="Arial"/>
          <w:b/>
          <w:color w:val="00B050"/>
        </w:rPr>
        <w:t>au-dessus</w:t>
      </w:r>
      <w:r w:rsidR="00FC088B">
        <w:rPr>
          <w:rFonts w:ascii="Arial" w:hAnsi="Arial" w:cs="Arial"/>
          <w:b/>
          <w:color w:val="00B050"/>
        </w:rPr>
        <w:t xml:space="preserve"> de ce point et par la transformation de la résistance en support.</w:t>
      </w:r>
    </w:p>
    <w:p w:rsidR="00A34C8C" w:rsidRDefault="003B7952" w:rsidP="00D43DAB">
      <w:pPr>
        <w:jc w:val="both"/>
        <w:rPr>
          <w:rFonts w:ascii="Arial" w:hAnsi="Arial" w:cs="Arial"/>
          <w:b/>
          <w:bCs/>
          <w:color w:val="FF0000"/>
          <w:sz w:val="28"/>
          <w:szCs w:val="28"/>
        </w:rPr>
      </w:pPr>
      <w:r>
        <w:rPr>
          <w:rFonts w:ascii="Arial" w:hAnsi="Arial" w:cs="Arial"/>
          <w:b/>
          <w:color w:val="00B050"/>
        </w:rPr>
        <w:t>La</w:t>
      </w:r>
      <w:r w:rsidR="00FC088B">
        <w:rPr>
          <w:rFonts w:ascii="Arial" w:hAnsi="Arial" w:cs="Arial"/>
          <w:b/>
          <w:color w:val="00B050"/>
        </w:rPr>
        <w:t xml:space="preserve"> hausse envisagée </w:t>
      </w:r>
      <w:r w:rsidR="006420ED">
        <w:rPr>
          <w:rFonts w:ascii="Arial" w:hAnsi="Arial" w:cs="Arial"/>
          <w:b/>
          <w:color w:val="00B050"/>
        </w:rPr>
        <w:t>au-dessus</w:t>
      </w:r>
      <w:r w:rsidR="00FC088B">
        <w:rPr>
          <w:rFonts w:ascii="Arial" w:hAnsi="Arial" w:cs="Arial"/>
          <w:b/>
          <w:color w:val="00B050"/>
        </w:rPr>
        <w:t xml:space="preserve"> de 3.05 a pour première cible 3.67. </w:t>
      </w:r>
    </w:p>
    <w:p w:rsidR="00EB3109" w:rsidRPr="00EB3109" w:rsidRDefault="00D43DAB" w:rsidP="00D43DAB">
      <w:pPr>
        <w:jc w:val="both"/>
        <w:rPr>
          <w:rFonts w:ascii="Arial" w:hAnsi="Arial" w:cs="Arial"/>
          <w:b/>
          <w:bCs/>
          <w:sz w:val="36"/>
          <w:szCs w:val="36"/>
          <w:u w:val="single"/>
          <w:lang w:val="en-US"/>
        </w:rPr>
      </w:pPr>
      <w:r w:rsidRPr="00C014A3">
        <w:rPr>
          <w:rFonts w:ascii="Arial" w:hAnsi="Arial" w:cs="Arial"/>
          <w:b/>
          <w:bCs/>
          <w:sz w:val="36"/>
          <w:szCs w:val="36"/>
        </w:rPr>
        <w:t xml:space="preserve">     </w:t>
      </w:r>
      <w:r w:rsidR="00292AF0" w:rsidRPr="00C014A3">
        <w:rPr>
          <w:rFonts w:ascii="Arial" w:hAnsi="Arial" w:cs="Arial"/>
          <w:b/>
          <w:bCs/>
          <w:sz w:val="36"/>
          <w:szCs w:val="36"/>
        </w:rPr>
        <w:t xml:space="preserve">                       </w:t>
      </w:r>
      <w:r w:rsidRPr="00C014A3">
        <w:rPr>
          <w:rFonts w:ascii="Arial" w:hAnsi="Arial" w:cs="Arial"/>
          <w:b/>
          <w:bCs/>
          <w:sz w:val="36"/>
          <w:szCs w:val="36"/>
        </w:rPr>
        <w:t xml:space="preserve"> </w:t>
      </w:r>
      <w:r w:rsidRPr="00EB3109">
        <w:rPr>
          <w:rFonts w:ascii="Arial" w:hAnsi="Arial" w:cs="Arial"/>
          <w:b/>
          <w:bCs/>
          <w:sz w:val="36"/>
          <w:szCs w:val="36"/>
          <w:u w:val="single"/>
          <w:lang w:val="en-US"/>
        </w:rPr>
        <w:t xml:space="preserve">10 ans UK </w:t>
      </w:r>
    </w:p>
    <w:p w:rsidR="006E6472" w:rsidRPr="00EB3109" w:rsidRDefault="006E6472" w:rsidP="006E6472">
      <w:pPr>
        <w:jc w:val="both"/>
        <w:rPr>
          <w:rFonts w:ascii="Arial" w:hAnsi="Arial" w:cs="Arial"/>
          <w:b/>
          <w:sz w:val="28"/>
          <w:szCs w:val="28"/>
          <w:u w:val="single"/>
          <w:lang w:val="en-US"/>
        </w:rPr>
      </w:pPr>
      <w:r w:rsidRPr="00EB3109">
        <w:rPr>
          <w:rFonts w:ascii="Arial" w:hAnsi="Arial" w:cs="Arial"/>
          <w:b/>
          <w:sz w:val="28"/>
          <w:szCs w:val="28"/>
          <w:u w:val="single"/>
          <w:lang w:val="en-US"/>
        </w:rPr>
        <w:t>Monthly</w:t>
      </w:r>
    </w:p>
    <w:p w:rsidR="006E6472" w:rsidRPr="00EB3109" w:rsidRDefault="00EB3109" w:rsidP="00B65AF1">
      <w:pPr>
        <w:ind w:left="-283"/>
        <w:jc w:val="both"/>
        <w:rPr>
          <w:rFonts w:ascii="Arial" w:hAnsi="Arial" w:cs="Arial"/>
          <w:b/>
          <w:bCs/>
          <w:lang w:val="en-US"/>
        </w:rPr>
      </w:pPr>
      <w:r>
        <w:rPr>
          <w:rFonts w:ascii="Arial" w:hAnsi="Arial" w:cs="Arial"/>
          <w:b/>
          <w:bCs/>
          <w:noProof/>
        </w:rPr>
        <w:drawing>
          <wp:inline distT="0" distB="0" distL="0" distR="0">
            <wp:extent cx="6742892" cy="4234543"/>
            <wp:effectExtent l="0" t="0" r="1270" b="0"/>
            <wp:docPr id="10" name="Image 10" descr="C:\Temp\Bloomberg\temp\bfmE0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E016.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55673" cy="4242570"/>
                    </a:xfrm>
                    <a:prstGeom prst="rect">
                      <a:avLst/>
                    </a:prstGeom>
                    <a:noFill/>
                    <a:ln>
                      <a:noFill/>
                    </a:ln>
                  </pic:spPr>
                </pic:pic>
              </a:graphicData>
            </a:graphic>
          </wp:inline>
        </w:drawing>
      </w:r>
    </w:p>
    <w:p w:rsidR="00D43DAB" w:rsidRPr="00EB3109" w:rsidRDefault="00D43DAB" w:rsidP="00D43DAB">
      <w:pPr>
        <w:jc w:val="both"/>
        <w:rPr>
          <w:rFonts w:ascii="Arial" w:hAnsi="Arial" w:cs="Arial"/>
          <w:b/>
          <w:bCs/>
          <w:sz w:val="28"/>
          <w:szCs w:val="28"/>
          <w:u w:val="single"/>
          <w:lang w:val="en-US"/>
        </w:rPr>
      </w:pPr>
      <w:r w:rsidRPr="00EB3109">
        <w:rPr>
          <w:rFonts w:ascii="Arial" w:hAnsi="Arial" w:cs="Arial"/>
          <w:b/>
          <w:bCs/>
          <w:sz w:val="28"/>
          <w:szCs w:val="28"/>
          <w:u w:val="single"/>
          <w:lang w:val="en-US"/>
        </w:rPr>
        <w:t>Weekly</w:t>
      </w:r>
    </w:p>
    <w:p w:rsidR="00D43DAB" w:rsidRPr="00EB3109" w:rsidRDefault="00EB3109" w:rsidP="00B65AF1">
      <w:pPr>
        <w:tabs>
          <w:tab w:val="left" w:pos="4395"/>
        </w:tabs>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568440" cy="4588329"/>
            <wp:effectExtent l="0" t="0" r="3810" b="3175"/>
            <wp:docPr id="9" name="Image 9" descr="C:\Temp\Bloomberg\temp\bfm1D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1DED.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83713" cy="4598998"/>
                    </a:xfrm>
                    <a:prstGeom prst="rect">
                      <a:avLst/>
                    </a:prstGeom>
                    <a:noFill/>
                    <a:ln>
                      <a:noFill/>
                    </a:ln>
                  </pic:spPr>
                </pic:pic>
              </a:graphicData>
            </a:graphic>
          </wp:inline>
        </w:drawing>
      </w:r>
    </w:p>
    <w:p w:rsidR="006E6472" w:rsidRPr="00EB3109" w:rsidRDefault="006E6472" w:rsidP="006E6472">
      <w:pPr>
        <w:jc w:val="both"/>
        <w:rPr>
          <w:rFonts w:ascii="Arial" w:hAnsi="Arial" w:cs="Arial"/>
          <w:b/>
          <w:bCs/>
          <w:sz w:val="28"/>
          <w:szCs w:val="28"/>
          <w:u w:val="single"/>
          <w:lang w:val="en-US"/>
        </w:rPr>
      </w:pPr>
      <w:r w:rsidRPr="00EB3109">
        <w:rPr>
          <w:rFonts w:ascii="Arial" w:hAnsi="Arial" w:cs="Arial"/>
          <w:b/>
          <w:bCs/>
          <w:sz w:val="28"/>
          <w:szCs w:val="28"/>
          <w:u w:val="single"/>
          <w:lang w:val="en-US"/>
        </w:rPr>
        <w:t xml:space="preserve">Daily </w:t>
      </w:r>
    </w:p>
    <w:p w:rsidR="003B2B32" w:rsidRPr="006641B7" w:rsidRDefault="00EB3109"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910" cy="4795157"/>
            <wp:effectExtent l="0" t="0" r="2540" b="5715"/>
            <wp:docPr id="8" name="Image 8" descr="C:\Temp\Bloomberg\temp\bfm8E1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8E1B.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99869" cy="4834089"/>
                    </a:xfrm>
                    <a:prstGeom prst="rect">
                      <a:avLst/>
                    </a:prstGeom>
                    <a:noFill/>
                    <a:ln>
                      <a:noFill/>
                    </a:ln>
                  </pic:spPr>
                </pic:pic>
              </a:graphicData>
            </a:graphic>
          </wp:inline>
        </w:drawing>
      </w:r>
    </w:p>
    <w:p w:rsidR="003B2B32" w:rsidRDefault="005530C2" w:rsidP="001B1B61">
      <w:pPr>
        <w:jc w:val="both"/>
        <w:rPr>
          <w:rFonts w:ascii="Tahoma" w:hAnsi="Tahoma" w:cs="Tahoma"/>
          <w:bCs/>
        </w:rPr>
      </w:pPr>
      <w:r w:rsidRPr="001B1B61">
        <w:rPr>
          <w:rFonts w:ascii="Arial" w:hAnsi="Arial" w:cs="Arial"/>
          <w:b/>
          <w:bCs/>
        </w:rPr>
        <w:t>M :</w:t>
      </w:r>
      <w:r w:rsidRPr="001B1B61">
        <w:rPr>
          <w:rFonts w:ascii="Tahoma" w:hAnsi="Tahoma" w:cs="Tahoma"/>
          <w:bCs/>
        </w:rPr>
        <w:t xml:space="preserve"> </w:t>
      </w:r>
      <w:r w:rsidR="003B2B32">
        <w:rPr>
          <w:rFonts w:ascii="Tahoma" w:hAnsi="Tahoma" w:cs="Tahoma"/>
          <w:bCs/>
        </w:rPr>
        <w:t xml:space="preserve">L’environnement de long terme est baissier. Depuis le point bas de 0.50, le marché a pris une direction </w:t>
      </w:r>
      <w:r w:rsidR="00C21C25">
        <w:rPr>
          <w:rFonts w:ascii="Tahoma" w:hAnsi="Tahoma" w:cs="Tahoma"/>
          <w:bCs/>
        </w:rPr>
        <w:t>haussière</w:t>
      </w:r>
      <w:r w:rsidR="003B2B32">
        <w:rPr>
          <w:rFonts w:ascii="Tahoma" w:hAnsi="Tahoma" w:cs="Tahoma"/>
          <w:bCs/>
        </w:rPr>
        <w:t xml:space="preserve"> sans remettre en question le contexte de cette unité de temps. </w:t>
      </w:r>
    </w:p>
    <w:p w:rsidR="008451F2" w:rsidRDefault="003B2B32" w:rsidP="001B1B61">
      <w:pPr>
        <w:jc w:val="both"/>
        <w:rPr>
          <w:rFonts w:ascii="Tahoma" w:hAnsi="Tahoma" w:cs="Tahoma"/>
          <w:bCs/>
        </w:rPr>
      </w:pPr>
      <w:r>
        <w:rPr>
          <w:rFonts w:ascii="Tahoma" w:hAnsi="Tahoma" w:cs="Tahoma"/>
          <w:bCs/>
        </w:rPr>
        <w:t xml:space="preserve">Après avoir dépassé les premières résistances concrétisées par la TS et la KS, le marché s’est positionné sous la borne basse de son nuage. Son point se situera pour le mois de mai et de juin sur 1.84. </w:t>
      </w:r>
      <w:r w:rsidR="008451F2">
        <w:rPr>
          <w:rFonts w:ascii="Tahoma" w:hAnsi="Tahoma" w:cs="Tahoma"/>
          <w:bCs/>
        </w:rPr>
        <w:t xml:space="preserve">Il sera renforcé par le plat de nuage futur sur 1.79. </w:t>
      </w:r>
      <w:r w:rsidR="0019471F">
        <w:rPr>
          <w:rFonts w:ascii="Tahoma" w:hAnsi="Tahoma" w:cs="Tahoma"/>
          <w:bCs/>
        </w:rPr>
        <w:t>Vue la forme plate de la TS et de la KS, c</w:t>
      </w:r>
      <w:r>
        <w:rPr>
          <w:rFonts w:ascii="Tahoma" w:hAnsi="Tahoma" w:cs="Tahoma"/>
          <w:bCs/>
        </w:rPr>
        <w:t xml:space="preserve">ette résistance </w:t>
      </w:r>
      <w:r w:rsidR="0019471F">
        <w:rPr>
          <w:rFonts w:ascii="Tahoma" w:hAnsi="Tahoma" w:cs="Tahoma"/>
          <w:bCs/>
        </w:rPr>
        <w:t>a peu de chance d’être passée.</w:t>
      </w:r>
    </w:p>
    <w:p w:rsidR="00690736" w:rsidRDefault="00690736" w:rsidP="001B1B61">
      <w:pPr>
        <w:jc w:val="both"/>
        <w:rPr>
          <w:rFonts w:ascii="Tahoma" w:hAnsi="Tahoma" w:cs="Tahoma"/>
          <w:bCs/>
        </w:rPr>
      </w:pPr>
      <w:r>
        <w:rPr>
          <w:rFonts w:ascii="Tahoma" w:hAnsi="Tahoma" w:cs="Tahoma"/>
          <w:bCs/>
        </w:rPr>
        <w:t xml:space="preserve">Une hausse limitée dans la zone des 1.84 sera envisagée tant que le marché se maintiendra </w:t>
      </w:r>
      <w:r w:rsidR="006420ED">
        <w:rPr>
          <w:rFonts w:ascii="Tahoma" w:hAnsi="Tahoma" w:cs="Tahoma"/>
          <w:bCs/>
        </w:rPr>
        <w:t>au-dessus</w:t>
      </w:r>
      <w:r>
        <w:rPr>
          <w:rFonts w:ascii="Tahoma" w:hAnsi="Tahoma" w:cs="Tahoma"/>
          <w:bCs/>
        </w:rPr>
        <w:t xml:space="preserve"> du plat de TS de 1.32. </w:t>
      </w:r>
      <w:r w:rsidR="002E71C2">
        <w:rPr>
          <w:rFonts w:ascii="Tahoma" w:hAnsi="Tahoma" w:cs="Tahoma"/>
          <w:bCs/>
        </w:rPr>
        <w:t>La LS devra alors s’affranchir de sa résistance représentée par une TS sur 1.70.</w:t>
      </w:r>
    </w:p>
    <w:p w:rsidR="0096003D" w:rsidRPr="001B1B61" w:rsidRDefault="0096003D" w:rsidP="001B1B61">
      <w:pPr>
        <w:jc w:val="both"/>
        <w:rPr>
          <w:rFonts w:ascii="Tahoma" w:hAnsi="Tahoma" w:cs="Tahoma"/>
          <w:bCs/>
        </w:rPr>
      </w:pPr>
    </w:p>
    <w:p w:rsidR="00592CE7" w:rsidRDefault="00134724" w:rsidP="00457643">
      <w:pPr>
        <w:jc w:val="both"/>
        <w:rPr>
          <w:rFonts w:ascii="Tahoma" w:hAnsi="Tahoma" w:cs="Tahoma"/>
          <w:bCs/>
        </w:rPr>
      </w:pPr>
      <w:r w:rsidRPr="00F950A8">
        <w:rPr>
          <w:rFonts w:ascii="Arial" w:hAnsi="Arial" w:cs="Arial"/>
          <w:b/>
          <w:bCs/>
        </w:rPr>
        <w:t xml:space="preserve">W : </w:t>
      </w:r>
      <w:r w:rsidR="004657DD">
        <w:rPr>
          <w:rFonts w:ascii="Tahoma" w:hAnsi="Tahoma" w:cs="Tahoma"/>
          <w:bCs/>
        </w:rPr>
        <w:t xml:space="preserve">Le moyen terme ne remet pas en question la possibilité de voir le taux progresser. Mais la hausse </w:t>
      </w:r>
      <w:r w:rsidR="00E52F35">
        <w:rPr>
          <w:rFonts w:ascii="Tahoma" w:hAnsi="Tahoma" w:cs="Tahoma"/>
          <w:bCs/>
        </w:rPr>
        <w:t>ne pourra pas aller très loin. Le plat de KS et de TS indique</w:t>
      </w:r>
      <w:r w:rsidR="00C21C25">
        <w:rPr>
          <w:rFonts w:ascii="Tahoma" w:hAnsi="Tahoma" w:cs="Tahoma"/>
          <w:bCs/>
        </w:rPr>
        <w:t>nt</w:t>
      </w:r>
      <w:r w:rsidR="00E52F35">
        <w:rPr>
          <w:rFonts w:ascii="Tahoma" w:hAnsi="Tahoma" w:cs="Tahoma"/>
          <w:bCs/>
        </w:rPr>
        <w:t xml:space="preserve"> que le marché n’est plus en tendance. Dans ce contexte, la hausse devrait se limiter au pic de février de 1.69. Ce haut renforce la résistance de 1.70 évoqué</w:t>
      </w:r>
      <w:r w:rsidR="00C21C25">
        <w:rPr>
          <w:rFonts w:ascii="Tahoma" w:hAnsi="Tahoma" w:cs="Tahoma"/>
          <w:bCs/>
        </w:rPr>
        <w:t>e</w:t>
      </w:r>
      <w:r w:rsidR="00E52F35">
        <w:rPr>
          <w:rFonts w:ascii="Tahoma" w:hAnsi="Tahoma" w:cs="Tahoma"/>
          <w:bCs/>
        </w:rPr>
        <w:t xml:space="preserve"> sur l’unité de temps supérieur</w:t>
      </w:r>
      <w:r w:rsidR="00C21C25">
        <w:rPr>
          <w:rFonts w:ascii="Tahoma" w:hAnsi="Tahoma" w:cs="Tahoma"/>
          <w:bCs/>
        </w:rPr>
        <w:t>e</w:t>
      </w:r>
      <w:r w:rsidR="00E52F35">
        <w:rPr>
          <w:rFonts w:ascii="Tahoma" w:hAnsi="Tahoma" w:cs="Tahoma"/>
          <w:bCs/>
        </w:rPr>
        <w:t>.</w:t>
      </w:r>
    </w:p>
    <w:p w:rsidR="00592CE7" w:rsidRPr="00934473" w:rsidRDefault="00592CE7" w:rsidP="00134724">
      <w:pPr>
        <w:jc w:val="both"/>
        <w:rPr>
          <w:rFonts w:ascii="Arial" w:hAnsi="Arial" w:cs="Arial"/>
          <w:b/>
          <w:bCs/>
          <w:sz w:val="28"/>
          <w:szCs w:val="28"/>
          <w:u w:val="single"/>
        </w:rPr>
      </w:pPr>
    </w:p>
    <w:p w:rsidR="00FF1FC8" w:rsidRPr="00F950A8" w:rsidRDefault="00134724" w:rsidP="00457643">
      <w:pPr>
        <w:jc w:val="both"/>
        <w:rPr>
          <w:rFonts w:ascii="Tahoma" w:hAnsi="Tahoma" w:cs="Tahoma"/>
          <w:bCs/>
        </w:rPr>
      </w:pPr>
      <w:r w:rsidRPr="00F950A8">
        <w:rPr>
          <w:rFonts w:ascii="Arial" w:hAnsi="Arial" w:cs="Arial"/>
          <w:b/>
          <w:bCs/>
        </w:rPr>
        <w:t xml:space="preserve">D : </w:t>
      </w:r>
      <w:r w:rsidR="00AC2628">
        <w:rPr>
          <w:rFonts w:ascii="Tahoma" w:hAnsi="Tahoma" w:cs="Tahoma"/>
          <w:bCs/>
        </w:rPr>
        <w:t xml:space="preserve">Pour envisager un retour du 10 ans UK sur 1.70, le court terme devra s’affranchir de sa résistance de 1.55. Depuis le début de l’année, ce point a été touché plusieurs fois ce qui </w:t>
      </w:r>
      <w:r w:rsidR="00C21C25">
        <w:rPr>
          <w:rFonts w:ascii="Tahoma" w:hAnsi="Tahoma" w:cs="Tahoma"/>
          <w:bCs/>
        </w:rPr>
        <w:t>a permis de le</w:t>
      </w:r>
      <w:r w:rsidR="00AC2628">
        <w:rPr>
          <w:rFonts w:ascii="Tahoma" w:hAnsi="Tahoma" w:cs="Tahoma"/>
          <w:bCs/>
        </w:rPr>
        <w:t xml:space="preserve"> renforc</w:t>
      </w:r>
      <w:r w:rsidR="00C21C25">
        <w:rPr>
          <w:rFonts w:ascii="Tahoma" w:hAnsi="Tahoma" w:cs="Tahoma"/>
          <w:bCs/>
        </w:rPr>
        <w:t>er</w:t>
      </w:r>
      <w:r w:rsidR="00AC2628">
        <w:rPr>
          <w:rFonts w:ascii="Tahoma" w:hAnsi="Tahoma" w:cs="Tahoma"/>
          <w:bCs/>
        </w:rPr>
        <w:t>. Sans dépassement, le taux pourra consolider entre la résistance de 1.55 et un support compris entre 1.32 et 1.35.</w:t>
      </w:r>
      <w:r w:rsidR="009435E0">
        <w:rPr>
          <w:rFonts w:ascii="Tahoma" w:hAnsi="Tahoma" w:cs="Tahoma"/>
          <w:bCs/>
        </w:rPr>
        <w:t xml:space="preserve"> </w:t>
      </w:r>
    </w:p>
    <w:p w:rsidR="009435E0" w:rsidRPr="00C955D5" w:rsidRDefault="009435E0" w:rsidP="005530C2">
      <w:pPr>
        <w:jc w:val="both"/>
        <w:rPr>
          <w:rFonts w:ascii="Arial" w:hAnsi="Arial" w:cs="Arial"/>
          <w:color w:val="FF0000"/>
        </w:rPr>
      </w:pPr>
    </w:p>
    <w:p w:rsidR="00A30EF5" w:rsidRPr="00BA1E3D" w:rsidRDefault="005530C2" w:rsidP="00BE257A">
      <w:pPr>
        <w:jc w:val="both"/>
        <w:rPr>
          <w:rFonts w:ascii="Arial" w:hAnsi="Arial" w:cs="Arial"/>
          <w:b/>
          <w:color w:val="FF0000"/>
        </w:rPr>
      </w:pPr>
      <w:r w:rsidRPr="004A2C42">
        <w:rPr>
          <w:rFonts w:ascii="Arial" w:hAnsi="Arial" w:cs="Arial"/>
          <w:b/>
          <w:color w:val="00B050"/>
          <w:u w:val="single"/>
        </w:rPr>
        <w:t>HEBDOMADAIRE</w:t>
      </w:r>
      <w:r w:rsidRPr="004A2C42">
        <w:rPr>
          <w:rFonts w:ascii="Arial" w:hAnsi="Arial" w:cs="Arial"/>
          <w:b/>
          <w:color w:val="00B050"/>
        </w:rPr>
        <w:t xml:space="preserve"> : </w:t>
      </w:r>
      <w:r w:rsidR="006420ED">
        <w:rPr>
          <w:rFonts w:ascii="Arial" w:hAnsi="Arial" w:cs="Arial"/>
          <w:b/>
          <w:color w:val="00B050"/>
        </w:rPr>
        <w:t>Au-dessus</w:t>
      </w:r>
      <w:r w:rsidR="004A4C46">
        <w:rPr>
          <w:rFonts w:ascii="Arial" w:hAnsi="Arial" w:cs="Arial"/>
          <w:b/>
          <w:color w:val="00B050"/>
        </w:rPr>
        <w:t xml:space="preserve"> de 1.32, le 10 ans UK a du potentiel pour venir chercher ses résistances</w:t>
      </w:r>
      <w:r w:rsidR="00063DD8">
        <w:rPr>
          <w:rFonts w:ascii="Arial" w:hAnsi="Arial" w:cs="Arial"/>
          <w:b/>
          <w:color w:val="00B050"/>
        </w:rPr>
        <w:t xml:space="preserve">, soit </w:t>
      </w:r>
      <w:r w:rsidR="004A4C46">
        <w:rPr>
          <w:rFonts w:ascii="Arial" w:hAnsi="Arial" w:cs="Arial"/>
          <w:b/>
          <w:color w:val="00B050"/>
        </w:rPr>
        <w:t xml:space="preserve">1.70 et en cassure 1.84. Mais l’absence de dynamique haussière sur toutes les unités de temps limitera la hausse à la première </w:t>
      </w:r>
      <w:r w:rsidR="00CC585B">
        <w:rPr>
          <w:rFonts w:ascii="Arial" w:hAnsi="Arial" w:cs="Arial"/>
          <w:b/>
          <w:color w:val="00B050"/>
        </w:rPr>
        <w:t xml:space="preserve">des </w:t>
      </w:r>
      <w:r w:rsidR="004A4C46">
        <w:rPr>
          <w:rFonts w:ascii="Arial" w:hAnsi="Arial" w:cs="Arial"/>
          <w:b/>
          <w:color w:val="00B050"/>
        </w:rPr>
        <w:t>résistance</w:t>
      </w:r>
      <w:r w:rsidR="00CC585B">
        <w:rPr>
          <w:rFonts w:ascii="Arial" w:hAnsi="Arial" w:cs="Arial"/>
          <w:b/>
          <w:color w:val="00B050"/>
        </w:rPr>
        <w:t>s</w:t>
      </w:r>
      <w:r w:rsidR="004A4C46">
        <w:rPr>
          <w:rFonts w:ascii="Arial" w:hAnsi="Arial" w:cs="Arial"/>
          <w:b/>
          <w:color w:val="00B050"/>
        </w:rPr>
        <w:t xml:space="preserve"> </w:t>
      </w:r>
      <w:r w:rsidR="00CC585B">
        <w:rPr>
          <w:rFonts w:ascii="Arial" w:hAnsi="Arial" w:cs="Arial"/>
          <w:b/>
          <w:color w:val="00B050"/>
        </w:rPr>
        <w:t>située à 1.70. Cet</w:t>
      </w:r>
      <w:r w:rsidR="004A4C46">
        <w:rPr>
          <w:rFonts w:ascii="Arial" w:hAnsi="Arial" w:cs="Arial"/>
          <w:b/>
          <w:color w:val="00B050"/>
        </w:rPr>
        <w:t xml:space="preserve"> objectif ne sera envisageable qu’après </w:t>
      </w:r>
      <w:r w:rsidR="00CC585B">
        <w:rPr>
          <w:rFonts w:ascii="Arial" w:hAnsi="Arial" w:cs="Arial"/>
          <w:b/>
          <w:color w:val="00B050"/>
        </w:rPr>
        <w:t>le franchissement</w:t>
      </w:r>
      <w:r w:rsidR="004A4C46">
        <w:rPr>
          <w:rFonts w:ascii="Arial" w:hAnsi="Arial" w:cs="Arial"/>
          <w:b/>
          <w:color w:val="00B050"/>
        </w:rPr>
        <w:t xml:space="preserve"> de </w:t>
      </w:r>
      <w:r w:rsidR="00CC585B">
        <w:rPr>
          <w:rFonts w:ascii="Arial" w:hAnsi="Arial" w:cs="Arial"/>
          <w:b/>
          <w:color w:val="00B050"/>
        </w:rPr>
        <w:t>l</w:t>
      </w:r>
      <w:r w:rsidR="004A4C46">
        <w:rPr>
          <w:rFonts w:ascii="Arial" w:hAnsi="Arial" w:cs="Arial"/>
          <w:b/>
          <w:color w:val="00B050"/>
        </w:rPr>
        <w:t xml:space="preserve">a résistance de </w:t>
      </w:r>
      <w:r w:rsidR="00CC585B">
        <w:rPr>
          <w:rFonts w:ascii="Arial" w:hAnsi="Arial" w:cs="Arial"/>
          <w:b/>
          <w:color w:val="00B050"/>
        </w:rPr>
        <w:t xml:space="preserve">court terme de </w:t>
      </w:r>
      <w:r w:rsidR="004A4C46">
        <w:rPr>
          <w:rFonts w:ascii="Arial" w:hAnsi="Arial" w:cs="Arial"/>
          <w:b/>
          <w:color w:val="00B050"/>
        </w:rPr>
        <w:t>1.55.</w:t>
      </w:r>
    </w:p>
    <w:p w:rsidR="00F72829" w:rsidRPr="00415641" w:rsidRDefault="00F72829" w:rsidP="00BE257A">
      <w:pPr>
        <w:jc w:val="both"/>
        <w:rPr>
          <w:rFonts w:ascii="Arial" w:hAnsi="Arial" w:cs="Arial"/>
          <w:b/>
          <w:color w:val="00B050"/>
          <w:lang w:val="en-US"/>
        </w:rPr>
      </w:pPr>
      <w:r w:rsidRPr="00D43DAB">
        <w:rPr>
          <w:rFonts w:ascii="Arial" w:hAnsi="Arial" w:cs="Arial"/>
          <w:b/>
          <w:bCs/>
          <w:color w:val="FF0000"/>
          <w:sz w:val="28"/>
          <w:szCs w:val="28"/>
        </w:rPr>
        <w:t xml:space="preserve">                         </w:t>
      </w:r>
      <w:r w:rsidR="006D7DCD">
        <w:rPr>
          <w:rFonts w:ascii="Arial" w:hAnsi="Arial" w:cs="Arial"/>
          <w:b/>
          <w:bCs/>
          <w:color w:val="FF0000"/>
          <w:sz w:val="28"/>
          <w:szCs w:val="28"/>
        </w:rPr>
        <w:t xml:space="preserve">         </w:t>
      </w:r>
      <w:r w:rsidRPr="00415641">
        <w:rPr>
          <w:rFonts w:ascii="Arial" w:hAnsi="Arial" w:cs="Arial"/>
          <w:b/>
          <w:bCs/>
          <w:sz w:val="36"/>
          <w:szCs w:val="36"/>
          <w:u w:val="single"/>
          <w:lang w:val="en-US"/>
        </w:rPr>
        <w:t xml:space="preserve">10 ans </w:t>
      </w:r>
      <w:r w:rsidR="00A2391D" w:rsidRPr="00415641">
        <w:rPr>
          <w:rFonts w:ascii="Arial" w:hAnsi="Arial" w:cs="Arial"/>
          <w:b/>
          <w:bCs/>
          <w:sz w:val="36"/>
          <w:szCs w:val="36"/>
          <w:u w:val="single"/>
          <w:lang w:val="en-US"/>
        </w:rPr>
        <w:t>JP</w:t>
      </w:r>
      <w:r w:rsidRPr="00415641">
        <w:rPr>
          <w:rFonts w:ascii="Arial" w:hAnsi="Arial" w:cs="Arial"/>
          <w:b/>
          <w:bCs/>
          <w:sz w:val="36"/>
          <w:szCs w:val="36"/>
          <w:u w:val="single"/>
          <w:lang w:val="en-US"/>
        </w:rPr>
        <w:t xml:space="preserve"> </w:t>
      </w:r>
      <w:r w:rsidRPr="00415641">
        <w:rPr>
          <w:rFonts w:ascii="Arial" w:hAnsi="Arial" w:cs="Arial"/>
          <w:b/>
          <w:i/>
          <w:lang w:val="en-US"/>
        </w:rPr>
        <w:t xml:space="preserve">                             </w:t>
      </w:r>
    </w:p>
    <w:p w:rsidR="008F1539" w:rsidRPr="00415641" w:rsidRDefault="008F1539" w:rsidP="008F1539">
      <w:pPr>
        <w:jc w:val="both"/>
        <w:rPr>
          <w:rFonts w:ascii="Arial" w:hAnsi="Arial" w:cs="Arial"/>
          <w:b/>
          <w:bCs/>
          <w:sz w:val="28"/>
          <w:szCs w:val="28"/>
          <w:u w:val="single"/>
          <w:lang w:val="en-US"/>
        </w:rPr>
      </w:pPr>
      <w:r w:rsidRPr="00415641">
        <w:rPr>
          <w:rFonts w:ascii="Arial" w:hAnsi="Arial" w:cs="Arial"/>
          <w:b/>
          <w:bCs/>
          <w:sz w:val="28"/>
          <w:szCs w:val="28"/>
          <w:u w:val="single"/>
          <w:lang w:val="en-US"/>
        </w:rPr>
        <w:t>Monthly</w:t>
      </w:r>
    </w:p>
    <w:p w:rsidR="00F72829" w:rsidRPr="0095687C" w:rsidRDefault="00EB3109" w:rsidP="00B65AF1">
      <w:pPr>
        <w:ind w:left="-283"/>
        <w:jc w:val="both"/>
        <w:rPr>
          <w:rFonts w:ascii="Arial" w:hAnsi="Arial" w:cs="Arial"/>
          <w:b/>
          <w:bCs/>
          <w:color w:val="FF0000"/>
          <w:sz w:val="28"/>
          <w:szCs w:val="28"/>
          <w:u w:val="single"/>
          <w:lang w:val="en-US"/>
        </w:rPr>
      </w:pPr>
      <w:r>
        <w:rPr>
          <w:rFonts w:ascii="Arial" w:hAnsi="Arial" w:cs="Arial"/>
          <w:b/>
          <w:bCs/>
          <w:noProof/>
          <w:color w:val="FF0000"/>
          <w:sz w:val="28"/>
          <w:szCs w:val="28"/>
          <w:u w:val="single"/>
        </w:rPr>
        <w:drawing>
          <wp:inline distT="0" distB="0" distL="0" distR="0">
            <wp:extent cx="6573866" cy="4376057"/>
            <wp:effectExtent l="0" t="0" r="0" b="5715"/>
            <wp:docPr id="13" name="Image 13" descr="C:\Temp\Bloomberg\temp\bfm379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Temp\Bloomberg\temp\bfm379D.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6160" cy="4384241"/>
                    </a:xfrm>
                    <a:prstGeom prst="rect">
                      <a:avLst/>
                    </a:prstGeom>
                    <a:noFill/>
                    <a:ln>
                      <a:noFill/>
                    </a:ln>
                  </pic:spPr>
                </pic:pic>
              </a:graphicData>
            </a:graphic>
          </wp:inline>
        </w:drawing>
      </w:r>
    </w:p>
    <w:p w:rsidR="00F72829" w:rsidRPr="00415641" w:rsidRDefault="00F72829" w:rsidP="00F72829">
      <w:pPr>
        <w:jc w:val="both"/>
        <w:rPr>
          <w:rFonts w:ascii="Arial" w:hAnsi="Arial" w:cs="Arial"/>
          <w:b/>
          <w:bCs/>
          <w:sz w:val="28"/>
          <w:szCs w:val="28"/>
          <w:u w:val="single"/>
          <w:lang w:val="en-US"/>
        </w:rPr>
      </w:pPr>
      <w:r w:rsidRPr="00415641">
        <w:rPr>
          <w:rFonts w:ascii="Arial" w:hAnsi="Arial" w:cs="Arial"/>
          <w:b/>
          <w:bCs/>
          <w:sz w:val="28"/>
          <w:szCs w:val="28"/>
          <w:u w:val="single"/>
          <w:lang w:val="en-US"/>
        </w:rPr>
        <w:t>Weekly</w:t>
      </w:r>
    </w:p>
    <w:p w:rsidR="008F1539" w:rsidRPr="00415641" w:rsidRDefault="00EB3109" w:rsidP="00B65AF1">
      <w:pPr>
        <w:autoSpaceDE w:val="0"/>
        <w:autoSpaceDN w:val="0"/>
        <w:adjustRightInd w:val="0"/>
        <w:ind w:left="-283"/>
        <w:jc w:val="both"/>
        <w:rPr>
          <w:rFonts w:ascii="Arial" w:hAnsi="Arial" w:cs="Arial"/>
          <w:lang w:val="en-US"/>
        </w:rPr>
      </w:pPr>
      <w:r>
        <w:rPr>
          <w:rFonts w:ascii="Arial" w:hAnsi="Arial" w:cs="Arial"/>
          <w:noProof/>
        </w:rPr>
        <w:drawing>
          <wp:inline distT="0" distB="0" distL="0" distR="0">
            <wp:extent cx="6574790" cy="4376058"/>
            <wp:effectExtent l="0" t="0" r="0" b="5715"/>
            <wp:docPr id="12" name="Image 12" descr="C:\Temp\Bloomberg\temp\bfm6A5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Temp\Bloomberg\temp\bfm6A5F.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84215" cy="4382331"/>
                    </a:xfrm>
                    <a:prstGeom prst="rect">
                      <a:avLst/>
                    </a:prstGeom>
                    <a:noFill/>
                    <a:ln>
                      <a:noFill/>
                    </a:ln>
                  </pic:spPr>
                </pic:pic>
              </a:graphicData>
            </a:graphic>
          </wp:inline>
        </w:drawing>
      </w:r>
    </w:p>
    <w:p w:rsidR="008F1539" w:rsidRPr="00415641" w:rsidRDefault="00AB09C6" w:rsidP="008F1539">
      <w:pPr>
        <w:autoSpaceDE w:val="0"/>
        <w:autoSpaceDN w:val="0"/>
        <w:adjustRightInd w:val="0"/>
        <w:ind w:left="-850"/>
        <w:jc w:val="both"/>
        <w:rPr>
          <w:rFonts w:ascii="Arial" w:hAnsi="Arial" w:cs="Arial"/>
          <w:b/>
          <w:bCs/>
          <w:sz w:val="28"/>
          <w:szCs w:val="28"/>
          <w:u w:val="single"/>
          <w:lang w:val="en-US"/>
        </w:rPr>
      </w:pPr>
      <w:r w:rsidRPr="00415641">
        <w:rPr>
          <w:rFonts w:ascii="Arial" w:hAnsi="Arial" w:cs="Arial"/>
          <w:b/>
          <w:bCs/>
          <w:sz w:val="28"/>
          <w:szCs w:val="28"/>
          <w:lang w:val="en-US"/>
        </w:rPr>
        <w:t xml:space="preserve">           </w:t>
      </w:r>
      <w:r w:rsidR="008F1539" w:rsidRPr="00415641">
        <w:rPr>
          <w:rFonts w:ascii="Arial" w:hAnsi="Arial" w:cs="Arial"/>
          <w:b/>
          <w:bCs/>
          <w:sz w:val="28"/>
          <w:szCs w:val="28"/>
          <w:u w:val="single"/>
          <w:lang w:val="en-US"/>
        </w:rPr>
        <w:t>Daily</w:t>
      </w:r>
    </w:p>
    <w:p w:rsidR="00843BA0" w:rsidRPr="00415641" w:rsidRDefault="00EB3109" w:rsidP="00B65AF1">
      <w:pPr>
        <w:autoSpaceDE w:val="0"/>
        <w:autoSpaceDN w:val="0"/>
        <w:adjustRightInd w:val="0"/>
        <w:ind w:left="-283"/>
        <w:jc w:val="both"/>
        <w:rPr>
          <w:rFonts w:ascii="Arial" w:hAnsi="Arial" w:cs="Arial"/>
          <w:lang w:val="en-US"/>
        </w:rPr>
      </w:pPr>
      <w:r>
        <w:rPr>
          <w:rFonts w:ascii="Arial" w:hAnsi="Arial" w:cs="Arial"/>
          <w:b/>
          <w:bCs/>
          <w:noProof/>
          <w:color w:val="FF0000"/>
          <w:sz w:val="28"/>
          <w:szCs w:val="28"/>
          <w:u w:val="single"/>
        </w:rPr>
        <w:drawing>
          <wp:inline distT="0" distB="0" distL="0" distR="0" wp14:anchorId="04B0A1C0" wp14:editId="0739F10F">
            <wp:extent cx="6607175" cy="4435928"/>
            <wp:effectExtent l="0" t="0" r="3175" b="3175"/>
            <wp:docPr id="11" name="Image 11" descr="C:\Temp\Bloomberg\temp\bfm844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Temp\Bloomberg\temp\bfm8442.b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12535" cy="4439526"/>
                    </a:xfrm>
                    <a:prstGeom prst="rect">
                      <a:avLst/>
                    </a:prstGeom>
                    <a:noFill/>
                    <a:ln>
                      <a:noFill/>
                    </a:ln>
                  </pic:spPr>
                </pic:pic>
              </a:graphicData>
            </a:graphic>
          </wp:inline>
        </w:drawing>
      </w:r>
    </w:p>
    <w:p w:rsidR="00843BA0" w:rsidRDefault="00843BA0" w:rsidP="008F1539">
      <w:pPr>
        <w:ind w:left="-850"/>
        <w:jc w:val="both"/>
        <w:rPr>
          <w:rFonts w:ascii="Arial" w:hAnsi="Arial" w:cs="Arial"/>
          <w:b/>
          <w:bCs/>
          <w:sz w:val="28"/>
          <w:szCs w:val="28"/>
          <w:u w:val="single"/>
          <w:lang w:val="en-US"/>
        </w:rPr>
      </w:pPr>
    </w:p>
    <w:p w:rsidR="000D72F9" w:rsidRDefault="001B313E" w:rsidP="00C955D5">
      <w:pPr>
        <w:jc w:val="both"/>
        <w:rPr>
          <w:rFonts w:ascii="Tahoma" w:hAnsi="Tahoma" w:cs="Tahoma"/>
          <w:bCs/>
        </w:rPr>
      </w:pPr>
      <w:r w:rsidRPr="00EC0AF5">
        <w:rPr>
          <w:rFonts w:ascii="Arial" w:hAnsi="Arial" w:cs="Arial"/>
          <w:b/>
          <w:bCs/>
        </w:rPr>
        <w:t>M :</w:t>
      </w:r>
      <w:r w:rsidRPr="00EC0AF5">
        <w:rPr>
          <w:rFonts w:ascii="Tahoma" w:hAnsi="Tahoma" w:cs="Tahoma"/>
          <w:bCs/>
        </w:rPr>
        <w:t xml:space="preserve"> </w:t>
      </w:r>
      <w:r w:rsidR="000D72F9">
        <w:rPr>
          <w:rFonts w:ascii="Tahoma" w:hAnsi="Tahoma" w:cs="Tahoma"/>
          <w:bCs/>
        </w:rPr>
        <w:t xml:space="preserve">Le </w:t>
      </w:r>
      <w:r w:rsidR="000D72F9" w:rsidRPr="0095687C">
        <w:rPr>
          <w:rFonts w:ascii="Tahoma" w:hAnsi="Tahoma" w:cs="Tahoma"/>
          <w:bCs/>
        </w:rPr>
        <w:t>cont</w:t>
      </w:r>
      <w:r w:rsidR="00A30EF5" w:rsidRPr="0095687C">
        <w:rPr>
          <w:rFonts w:ascii="Tahoma" w:hAnsi="Tahoma" w:cs="Tahoma"/>
          <w:bCs/>
        </w:rPr>
        <w:t xml:space="preserve">exte de long terme est baissier, </w:t>
      </w:r>
      <w:r w:rsidR="000D72F9" w:rsidRPr="0095687C">
        <w:rPr>
          <w:rFonts w:ascii="Tahoma" w:hAnsi="Tahoma" w:cs="Tahoma"/>
          <w:bCs/>
        </w:rPr>
        <w:t>sans tendance entre 0.00 et 0.10.</w:t>
      </w:r>
      <w:r w:rsidR="0095687C">
        <w:rPr>
          <w:rFonts w:ascii="Tahoma" w:hAnsi="Tahoma" w:cs="Tahoma"/>
          <w:bCs/>
        </w:rPr>
        <w:t xml:space="preserve"> Le plat de TS va servir dans un premier temps de point de pivot sur 0.05 alors que celui de la KS aura un </w:t>
      </w:r>
      <w:r w:rsidR="006420ED">
        <w:rPr>
          <w:rFonts w:ascii="Tahoma" w:hAnsi="Tahoma" w:cs="Tahoma"/>
          <w:bCs/>
        </w:rPr>
        <w:t>rôle</w:t>
      </w:r>
      <w:r w:rsidR="0095687C">
        <w:rPr>
          <w:rFonts w:ascii="Tahoma" w:hAnsi="Tahoma" w:cs="Tahoma"/>
          <w:bCs/>
        </w:rPr>
        <w:t xml:space="preserve"> de support sur -0.07</w:t>
      </w:r>
    </w:p>
    <w:p w:rsidR="00F72829" w:rsidRPr="008631EB" w:rsidRDefault="00F72829" w:rsidP="00F72829">
      <w:pPr>
        <w:jc w:val="both"/>
        <w:rPr>
          <w:rFonts w:ascii="Tahoma" w:hAnsi="Tahoma" w:cs="Tahoma"/>
          <w:bCs/>
        </w:rPr>
      </w:pPr>
      <w:r w:rsidRPr="008631EB">
        <w:rPr>
          <w:rFonts w:ascii="Tahoma" w:hAnsi="Tahoma" w:cs="Tahoma"/>
          <w:bCs/>
        </w:rPr>
        <w:t xml:space="preserve">  </w:t>
      </w:r>
    </w:p>
    <w:p w:rsidR="00F74739" w:rsidRPr="008631EB" w:rsidRDefault="00F72829" w:rsidP="00AB20FB">
      <w:pPr>
        <w:jc w:val="both"/>
        <w:rPr>
          <w:rFonts w:ascii="Tahoma" w:hAnsi="Tahoma" w:cs="Tahoma"/>
          <w:bCs/>
        </w:rPr>
      </w:pPr>
      <w:r w:rsidRPr="008631EB">
        <w:rPr>
          <w:rFonts w:ascii="Arial" w:hAnsi="Arial" w:cs="Arial"/>
          <w:b/>
          <w:bCs/>
        </w:rPr>
        <w:t xml:space="preserve">W : </w:t>
      </w:r>
      <w:r w:rsidR="004D3429">
        <w:rPr>
          <w:rFonts w:ascii="Tahoma" w:hAnsi="Tahoma" w:cs="Tahoma"/>
          <w:bCs/>
        </w:rPr>
        <w:t>L’absence de tendance se traduit sur le moyen terme par une évolution du marché au sein d’un rectangle dont les bornes sont comprises entre 0.00 et 0.10.</w:t>
      </w:r>
    </w:p>
    <w:p w:rsidR="00F72829" w:rsidRPr="008631EB" w:rsidRDefault="00F72829" w:rsidP="00F72829">
      <w:pPr>
        <w:jc w:val="both"/>
        <w:rPr>
          <w:rFonts w:ascii="Arial" w:hAnsi="Arial" w:cs="Arial"/>
          <w:b/>
          <w:bCs/>
        </w:rPr>
      </w:pPr>
    </w:p>
    <w:p w:rsidR="00BA1E3D" w:rsidRPr="008631EB" w:rsidRDefault="001B313E" w:rsidP="00BA1E3D">
      <w:pPr>
        <w:jc w:val="both"/>
        <w:rPr>
          <w:rFonts w:ascii="Tahoma" w:hAnsi="Tahoma" w:cs="Tahoma"/>
          <w:bCs/>
        </w:rPr>
      </w:pPr>
      <w:r w:rsidRPr="008631EB">
        <w:rPr>
          <w:rFonts w:ascii="Arial" w:hAnsi="Arial" w:cs="Arial"/>
          <w:b/>
          <w:bCs/>
        </w:rPr>
        <w:t xml:space="preserve">D : </w:t>
      </w:r>
      <w:r w:rsidR="002637F2">
        <w:rPr>
          <w:rFonts w:ascii="Tahoma" w:hAnsi="Tahoma" w:cs="Tahoma"/>
          <w:bCs/>
        </w:rPr>
        <w:t xml:space="preserve">Les </w:t>
      </w:r>
      <w:r w:rsidR="00FF7B22">
        <w:rPr>
          <w:rFonts w:ascii="Tahoma" w:hAnsi="Tahoma" w:cs="Tahoma"/>
          <w:bCs/>
        </w:rPr>
        <w:t>nombreux croisement de nuage co</w:t>
      </w:r>
      <w:r w:rsidR="006420ED">
        <w:rPr>
          <w:rFonts w:ascii="Tahoma" w:hAnsi="Tahoma" w:cs="Tahoma"/>
          <w:bCs/>
        </w:rPr>
        <w:t>nfirment l’absence de direction</w:t>
      </w:r>
      <w:r w:rsidR="00FF7B22">
        <w:rPr>
          <w:rFonts w:ascii="Tahoma" w:hAnsi="Tahoma" w:cs="Tahoma"/>
          <w:bCs/>
        </w:rPr>
        <w:t xml:space="preserve"> du taux. Dans ce contexte, le nuage sert de force de rappel.</w:t>
      </w:r>
    </w:p>
    <w:p w:rsidR="001B313E" w:rsidRPr="008631EB" w:rsidRDefault="001B313E" w:rsidP="001B313E">
      <w:pPr>
        <w:jc w:val="both"/>
        <w:rPr>
          <w:rFonts w:ascii="Tahoma" w:hAnsi="Tahoma" w:cs="Tahoma"/>
          <w:bCs/>
        </w:rPr>
      </w:pPr>
    </w:p>
    <w:p w:rsidR="00401AE1" w:rsidRPr="00C955D5" w:rsidRDefault="00401AE1" w:rsidP="00D27672">
      <w:pPr>
        <w:jc w:val="both"/>
        <w:rPr>
          <w:rFonts w:ascii="Tahoma" w:hAnsi="Tahoma" w:cs="Tahoma"/>
          <w:bCs/>
          <w:color w:val="FF0000"/>
        </w:rPr>
      </w:pPr>
    </w:p>
    <w:p w:rsidR="00F72829" w:rsidRPr="00C955D5" w:rsidRDefault="00F72829" w:rsidP="00F72829">
      <w:pPr>
        <w:jc w:val="both"/>
        <w:rPr>
          <w:rFonts w:ascii="Arial" w:hAnsi="Arial" w:cs="Arial"/>
          <w:color w:val="FF0000"/>
        </w:rPr>
      </w:pPr>
    </w:p>
    <w:p w:rsidR="000E52E1" w:rsidRPr="003B2B32" w:rsidRDefault="00F72829" w:rsidP="000E52E1">
      <w:pPr>
        <w:jc w:val="both"/>
        <w:rPr>
          <w:rFonts w:ascii="Arial" w:hAnsi="Arial" w:cs="Arial"/>
          <w:b/>
          <w:color w:val="00B050"/>
        </w:rPr>
      </w:pPr>
      <w:r w:rsidRPr="00F930B8">
        <w:rPr>
          <w:rFonts w:ascii="Arial" w:hAnsi="Arial" w:cs="Arial"/>
          <w:b/>
          <w:color w:val="00B050"/>
          <w:u w:val="single"/>
        </w:rPr>
        <w:t>HEBDOMADAIRE</w:t>
      </w:r>
      <w:r w:rsidRPr="00F930B8">
        <w:rPr>
          <w:rFonts w:ascii="Arial" w:hAnsi="Arial" w:cs="Arial"/>
          <w:b/>
          <w:color w:val="00B050"/>
        </w:rPr>
        <w:t xml:space="preserve"> : </w:t>
      </w:r>
      <w:r w:rsidR="00935C01" w:rsidRPr="00F930B8">
        <w:rPr>
          <w:rFonts w:ascii="Arial" w:hAnsi="Arial" w:cs="Arial"/>
          <w:b/>
          <w:color w:val="00B050"/>
        </w:rPr>
        <w:t xml:space="preserve">Le </w:t>
      </w:r>
      <w:r w:rsidR="00935C01" w:rsidRPr="003B2B32">
        <w:rPr>
          <w:rFonts w:ascii="Arial" w:hAnsi="Arial" w:cs="Arial"/>
          <w:b/>
          <w:color w:val="00B050"/>
        </w:rPr>
        <w:t>marché consolide sous la forme d’une dérive latérale comprise entre 0.10 et 0.00. Au sein de cette zone, le nuage Daily sert de force de rappel</w:t>
      </w:r>
      <w:r w:rsidR="00451C8C" w:rsidRPr="003B2B32">
        <w:rPr>
          <w:rFonts w:ascii="Arial" w:hAnsi="Arial" w:cs="Arial"/>
          <w:b/>
          <w:color w:val="00B050"/>
        </w:rPr>
        <w:t>.</w:t>
      </w:r>
    </w:p>
    <w:p w:rsidR="009D6F55" w:rsidRDefault="009D6F55" w:rsidP="000E52E1">
      <w:pPr>
        <w:jc w:val="both"/>
        <w:rPr>
          <w:rFonts w:ascii="Arial" w:hAnsi="Arial" w:cs="Arial"/>
          <w:b/>
          <w:bCs/>
          <w:sz w:val="36"/>
          <w:szCs w:val="36"/>
        </w:rPr>
      </w:pPr>
    </w:p>
    <w:p w:rsidR="00DA07F1" w:rsidRDefault="00292AF0" w:rsidP="00292AF0">
      <w:pPr>
        <w:jc w:val="both"/>
        <w:rPr>
          <w:rFonts w:ascii="Arial" w:hAnsi="Arial" w:cs="Arial"/>
          <w:b/>
          <w:bCs/>
          <w:sz w:val="36"/>
          <w:szCs w:val="36"/>
        </w:rPr>
      </w:pPr>
      <w:r>
        <w:rPr>
          <w:rFonts w:ascii="Arial" w:hAnsi="Arial" w:cs="Arial"/>
          <w:b/>
          <w:bCs/>
          <w:sz w:val="36"/>
          <w:szCs w:val="36"/>
        </w:rPr>
        <w:t xml:space="preserve">                           </w:t>
      </w:r>
    </w:p>
    <w:p w:rsidR="00B65AF1" w:rsidRDefault="00B65AF1" w:rsidP="00292AF0">
      <w:pPr>
        <w:jc w:val="both"/>
        <w:rPr>
          <w:rFonts w:ascii="Arial" w:hAnsi="Arial" w:cs="Arial"/>
          <w:b/>
          <w:bCs/>
          <w:sz w:val="36"/>
          <w:szCs w:val="36"/>
        </w:rPr>
      </w:pPr>
    </w:p>
    <w:p w:rsidR="00B65AF1" w:rsidRDefault="00B65AF1" w:rsidP="00292AF0">
      <w:pPr>
        <w:jc w:val="both"/>
        <w:rPr>
          <w:rFonts w:ascii="Arial" w:hAnsi="Arial" w:cs="Arial"/>
          <w:b/>
          <w:bCs/>
          <w:sz w:val="36"/>
          <w:szCs w:val="36"/>
        </w:rPr>
      </w:pPr>
    </w:p>
    <w:p w:rsidR="00DD404E" w:rsidRPr="00292AF0" w:rsidRDefault="00DD404E" w:rsidP="00292AF0">
      <w:pPr>
        <w:jc w:val="both"/>
        <w:rPr>
          <w:rFonts w:ascii="Arial" w:hAnsi="Arial" w:cs="Arial"/>
          <w:b/>
          <w:color w:val="00B050"/>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F72829" w:rsidRDefault="00F72829"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headerReference w:type="even" r:id="rId20"/>
      <w:headerReference w:type="default" r:id="rId21"/>
      <w:footerReference w:type="even" r:id="rId22"/>
      <w:footerReference w:type="default" r:id="rId23"/>
      <w:headerReference w:type="first" r:id="rId24"/>
      <w:footerReference w:type="first" r:id="rId25"/>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73C5" w:rsidRDefault="004873C5" w:rsidP="00632EAA">
      <w:r>
        <w:separator/>
      </w:r>
    </w:p>
  </w:endnote>
  <w:endnote w:type="continuationSeparator" w:id="0">
    <w:p w:rsidR="004873C5" w:rsidRDefault="004873C5"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60B" w:rsidRDefault="00BA460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3C5" w:rsidRDefault="00BA460B">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1" name="MSIPCM550c40898fa43fab1b0e7752"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A460B" w:rsidRPr="00BA460B" w:rsidRDefault="00BA460B" w:rsidP="00BA460B">
                          <w:pPr>
                            <w:rPr>
                              <w:rFonts w:ascii="Calibri" w:hAnsi="Calibri" w:cs="Calibri"/>
                              <w:color w:val="737373"/>
                              <w:sz w:val="16"/>
                            </w:rPr>
                          </w:pPr>
                          <w:r w:rsidRPr="00BA460B">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550c40898fa43fab1b0e7752"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" o:allowincell="f" filled="f" stroked="f" strokeweight=".5pt">
              <v:fill o:detectmouseclick="t"/>
              <v:textbox inset="20pt,0,,0">
                <w:txbxContent>
                  <w:p w:rsidR="00BA460B" w:rsidRPr="00BA460B" w:rsidRDefault="00BA460B" w:rsidP="00BA460B">
                    <w:pPr>
                      <w:rPr>
                        <w:rFonts w:ascii="Calibri" w:hAnsi="Calibri" w:cs="Calibri"/>
                        <w:color w:val="737373"/>
                        <w:sz w:val="16"/>
                      </w:rPr>
                    </w:pPr>
                    <w:r w:rsidRPr="00BA460B">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60B" w:rsidRDefault="00BA460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73C5" w:rsidRDefault="004873C5" w:rsidP="00632EAA">
      <w:r>
        <w:separator/>
      </w:r>
    </w:p>
  </w:footnote>
  <w:footnote w:type="continuationSeparator" w:id="0">
    <w:p w:rsidR="004873C5" w:rsidRDefault="004873C5"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60B" w:rsidRDefault="00BA460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60B" w:rsidRDefault="00BA460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60B" w:rsidRDefault="00BA460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15DE9"/>
    <w:rsid w:val="00024342"/>
    <w:rsid w:val="00031AE3"/>
    <w:rsid w:val="00031D2A"/>
    <w:rsid w:val="000403B1"/>
    <w:rsid w:val="00040784"/>
    <w:rsid w:val="00040AE9"/>
    <w:rsid w:val="000412FF"/>
    <w:rsid w:val="00041F25"/>
    <w:rsid w:val="0005450A"/>
    <w:rsid w:val="0006167C"/>
    <w:rsid w:val="00063DD8"/>
    <w:rsid w:val="000641C0"/>
    <w:rsid w:val="000679AC"/>
    <w:rsid w:val="00077732"/>
    <w:rsid w:val="00082509"/>
    <w:rsid w:val="000874DF"/>
    <w:rsid w:val="00090B79"/>
    <w:rsid w:val="00093D02"/>
    <w:rsid w:val="0009578D"/>
    <w:rsid w:val="0009601D"/>
    <w:rsid w:val="000A3D69"/>
    <w:rsid w:val="000A4A04"/>
    <w:rsid w:val="000C5BCC"/>
    <w:rsid w:val="000D17A4"/>
    <w:rsid w:val="000D21A7"/>
    <w:rsid w:val="000D268A"/>
    <w:rsid w:val="000D4E0C"/>
    <w:rsid w:val="000D6642"/>
    <w:rsid w:val="000D72F9"/>
    <w:rsid w:val="000D7ED2"/>
    <w:rsid w:val="000E4AFF"/>
    <w:rsid w:val="000E52E1"/>
    <w:rsid w:val="000E620B"/>
    <w:rsid w:val="000E65BF"/>
    <w:rsid w:val="000F7250"/>
    <w:rsid w:val="00100473"/>
    <w:rsid w:val="00101F48"/>
    <w:rsid w:val="00104E12"/>
    <w:rsid w:val="0010583E"/>
    <w:rsid w:val="001155DC"/>
    <w:rsid w:val="00124CE0"/>
    <w:rsid w:val="0012530F"/>
    <w:rsid w:val="001259C9"/>
    <w:rsid w:val="00134724"/>
    <w:rsid w:val="00141BFC"/>
    <w:rsid w:val="001420E9"/>
    <w:rsid w:val="00145281"/>
    <w:rsid w:val="00151611"/>
    <w:rsid w:val="00151A43"/>
    <w:rsid w:val="00152726"/>
    <w:rsid w:val="001562F5"/>
    <w:rsid w:val="0017044D"/>
    <w:rsid w:val="00174112"/>
    <w:rsid w:val="00174D90"/>
    <w:rsid w:val="001758CA"/>
    <w:rsid w:val="00175D7D"/>
    <w:rsid w:val="001802ED"/>
    <w:rsid w:val="00181C36"/>
    <w:rsid w:val="0019448F"/>
    <w:rsid w:val="0019471F"/>
    <w:rsid w:val="00194BF8"/>
    <w:rsid w:val="001B1120"/>
    <w:rsid w:val="001B1B61"/>
    <w:rsid w:val="001B313E"/>
    <w:rsid w:val="001C0911"/>
    <w:rsid w:val="001C0A29"/>
    <w:rsid w:val="001C1C7A"/>
    <w:rsid w:val="001C6728"/>
    <w:rsid w:val="001D21C0"/>
    <w:rsid w:val="001D2CFB"/>
    <w:rsid w:val="001E4E26"/>
    <w:rsid w:val="001F0E5F"/>
    <w:rsid w:val="002000EA"/>
    <w:rsid w:val="00203583"/>
    <w:rsid w:val="00206C2A"/>
    <w:rsid w:val="002078BB"/>
    <w:rsid w:val="0021328A"/>
    <w:rsid w:val="00222827"/>
    <w:rsid w:val="002308C6"/>
    <w:rsid w:val="00230B15"/>
    <w:rsid w:val="00233557"/>
    <w:rsid w:val="00235DEB"/>
    <w:rsid w:val="0023751E"/>
    <w:rsid w:val="002506D7"/>
    <w:rsid w:val="002525D8"/>
    <w:rsid w:val="0025315D"/>
    <w:rsid w:val="00254989"/>
    <w:rsid w:val="00256885"/>
    <w:rsid w:val="00260D05"/>
    <w:rsid w:val="002637F2"/>
    <w:rsid w:val="00264CE5"/>
    <w:rsid w:val="00264ECA"/>
    <w:rsid w:val="00273EF1"/>
    <w:rsid w:val="00274AD5"/>
    <w:rsid w:val="00276D92"/>
    <w:rsid w:val="0027748F"/>
    <w:rsid w:val="00281F6C"/>
    <w:rsid w:val="00292AF0"/>
    <w:rsid w:val="002A322F"/>
    <w:rsid w:val="002A3CA4"/>
    <w:rsid w:val="002A46CF"/>
    <w:rsid w:val="002A634E"/>
    <w:rsid w:val="002A63D2"/>
    <w:rsid w:val="002B0A38"/>
    <w:rsid w:val="002B4084"/>
    <w:rsid w:val="002C101E"/>
    <w:rsid w:val="002C2834"/>
    <w:rsid w:val="002C5FAC"/>
    <w:rsid w:val="002D3EC9"/>
    <w:rsid w:val="002E337C"/>
    <w:rsid w:val="002E34FF"/>
    <w:rsid w:val="002E3C88"/>
    <w:rsid w:val="002E5E89"/>
    <w:rsid w:val="002E71C2"/>
    <w:rsid w:val="002E7D66"/>
    <w:rsid w:val="002F0C21"/>
    <w:rsid w:val="002F3091"/>
    <w:rsid w:val="002F4402"/>
    <w:rsid w:val="002F6B57"/>
    <w:rsid w:val="0031071E"/>
    <w:rsid w:val="00314C8B"/>
    <w:rsid w:val="003166BC"/>
    <w:rsid w:val="00317596"/>
    <w:rsid w:val="003228D3"/>
    <w:rsid w:val="003233B1"/>
    <w:rsid w:val="003261EE"/>
    <w:rsid w:val="00330C78"/>
    <w:rsid w:val="00337BE0"/>
    <w:rsid w:val="003411EA"/>
    <w:rsid w:val="0034135F"/>
    <w:rsid w:val="00343C28"/>
    <w:rsid w:val="00347D77"/>
    <w:rsid w:val="00352A1E"/>
    <w:rsid w:val="00353AD0"/>
    <w:rsid w:val="00354C96"/>
    <w:rsid w:val="00360110"/>
    <w:rsid w:val="00365809"/>
    <w:rsid w:val="00366961"/>
    <w:rsid w:val="00367239"/>
    <w:rsid w:val="00367599"/>
    <w:rsid w:val="003702C4"/>
    <w:rsid w:val="00373142"/>
    <w:rsid w:val="003750B6"/>
    <w:rsid w:val="00377440"/>
    <w:rsid w:val="0038119F"/>
    <w:rsid w:val="00385F69"/>
    <w:rsid w:val="003948B3"/>
    <w:rsid w:val="00394A95"/>
    <w:rsid w:val="003952D7"/>
    <w:rsid w:val="00397BA3"/>
    <w:rsid w:val="003A1222"/>
    <w:rsid w:val="003B2B32"/>
    <w:rsid w:val="003B2CFF"/>
    <w:rsid w:val="003B63F5"/>
    <w:rsid w:val="003B75F0"/>
    <w:rsid w:val="003B7952"/>
    <w:rsid w:val="003C03CD"/>
    <w:rsid w:val="003C27DA"/>
    <w:rsid w:val="003E1B3F"/>
    <w:rsid w:val="003E5A71"/>
    <w:rsid w:val="003E749D"/>
    <w:rsid w:val="003F4023"/>
    <w:rsid w:val="003F6F10"/>
    <w:rsid w:val="00401AE1"/>
    <w:rsid w:val="00401C1D"/>
    <w:rsid w:val="00401CC8"/>
    <w:rsid w:val="00401F6A"/>
    <w:rsid w:val="00402633"/>
    <w:rsid w:val="00403835"/>
    <w:rsid w:val="004069F1"/>
    <w:rsid w:val="004110E2"/>
    <w:rsid w:val="00415641"/>
    <w:rsid w:val="00416B48"/>
    <w:rsid w:val="00416F1A"/>
    <w:rsid w:val="0043099C"/>
    <w:rsid w:val="0043164A"/>
    <w:rsid w:val="00432974"/>
    <w:rsid w:val="00440575"/>
    <w:rsid w:val="004411EA"/>
    <w:rsid w:val="00451C8C"/>
    <w:rsid w:val="00457643"/>
    <w:rsid w:val="004657DD"/>
    <w:rsid w:val="00467E82"/>
    <w:rsid w:val="00470E75"/>
    <w:rsid w:val="00476700"/>
    <w:rsid w:val="004801A4"/>
    <w:rsid w:val="004873C5"/>
    <w:rsid w:val="00490C20"/>
    <w:rsid w:val="004A2C42"/>
    <w:rsid w:val="004A4C46"/>
    <w:rsid w:val="004A5B07"/>
    <w:rsid w:val="004A7BFF"/>
    <w:rsid w:val="004B145B"/>
    <w:rsid w:val="004C0997"/>
    <w:rsid w:val="004C107D"/>
    <w:rsid w:val="004C1D94"/>
    <w:rsid w:val="004C57CF"/>
    <w:rsid w:val="004C7595"/>
    <w:rsid w:val="004D02B8"/>
    <w:rsid w:val="004D3429"/>
    <w:rsid w:val="004E02D3"/>
    <w:rsid w:val="004E2FE7"/>
    <w:rsid w:val="004F35A1"/>
    <w:rsid w:val="004F3E17"/>
    <w:rsid w:val="004F49FB"/>
    <w:rsid w:val="004F7DDC"/>
    <w:rsid w:val="00500A6D"/>
    <w:rsid w:val="0050573E"/>
    <w:rsid w:val="00514C7E"/>
    <w:rsid w:val="005224FA"/>
    <w:rsid w:val="0052288F"/>
    <w:rsid w:val="0054005C"/>
    <w:rsid w:val="00542FB4"/>
    <w:rsid w:val="0054379C"/>
    <w:rsid w:val="00545E40"/>
    <w:rsid w:val="005530C2"/>
    <w:rsid w:val="005600F6"/>
    <w:rsid w:val="0056419E"/>
    <w:rsid w:val="0059070C"/>
    <w:rsid w:val="00592CE7"/>
    <w:rsid w:val="005A5601"/>
    <w:rsid w:val="005A7A3E"/>
    <w:rsid w:val="005B781D"/>
    <w:rsid w:val="005C3180"/>
    <w:rsid w:val="005C5E67"/>
    <w:rsid w:val="005D451E"/>
    <w:rsid w:val="005E3841"/>
    <w:rsid w:val="005E4948"/>
    <w:rsid w:val="005F7340"/>
    <w:rsid w:val="0060114F"/>
    <w:rsid w:val="0060274E"/>
    <w:rsid w:val="006048FD"/>
    <w:rsid w:val="00620D34"/>
    <w:rsid w:val="0062397C"/>
    <w:rsid w:val="00626AF6"/>
    <w:rsid w:val="00632EAA"/>
    <w:rsid w:val="0063445B"/>
    <w:rsid w:val="006374F9"/>
    <w:rsid w:val="006420ED"/>
    <w:rsid w:val="00643293"/>
    <w:rsid w:val="00645868"/>
    <w:rsid w:val="00650C73"/>
    <w:rsid w:val="0066004C"/>
    <w:rsid w:val="006641B7"/>
    <w:rsid w:val="00670CF7"/>
    <w:rsid w:val="00676870"/>
    <w:rsid w:val="00682009"/>
    <w:rsid w:val="006871A5"/>
    <w:rsid w:val="00690736"/>
    <w:rsid w:val="0069101B"/>
    <w:rsid w:val="006A0DD9"/>
    <w:rsid w:val="006A1753"/>
    <w:rsid w:val="006A43AF"/>
    <w:rsid w:val="006B35CA"/>
    <w:rsid w:val="006B4A73"/>
    <w:rsid w:val="006C0FF6"/>
    <w:rsid w:val="006C10F5"/>
    <w:rsid w:val="006C59E0"/>
    <w:rsid w:val="006C634F"/>
    <w:rsid w:val="006D6C35"/>
    <w:rsid w:val="006D7DCD"/>
    <w:rsid w:val="006E0AD0"/>
    <w:rsid w:val="006E1A3A"/>
    <w:rsid w:val="006E6472"/>
    <w:rsid w:val="006F6A52"/>
    <w:rsid w:val="006F7044"/>
    <w:rsid w:val="00702A9F"/>
    <w:rsid w:val="00704A64"/>
    <w:rsid w:val="007236FA"/>
    <w:rsid w:val="00725CFC"/>
    <w:rsid w:val="00726F34"/>
    <w:rsid w:val="00727A2F"/>
    <w:rsid w:val="00732E1A"/>
    <w:rsid w:val="007357F8"/>
    <w:rsid w:val="0073620D"/>
    <w:rsid w:val="007400C0"/>
    <w:rsid w:val="00746A4F"/>
    <w:rsid w:val="00754F13"/>
    <w:rsid w:val="00762F69"/>
    <w:rsid w:val="007658F2"/>
    <w:rsid w:val="00775E44"/>
    <w:rsid w:val="00776C3E"/>
    <w:rsid w:val="007801B9"/>
    <w:rsid w:val="00781543"/>
    <w:rsid w:val="007A54EF"/>
    <w:rsid w:val="007B31F5"/>
    <w:rsid w:val="007B6865"/>
    <w:rsid w:val="007C14A5"/>
    <w:rsid w:val="007D3A98"/>
    <w:rsid w:val="007D4DA3"/>
    <w:rsid w:val="007D538A"/>
    <w:rsid w:val="007E0829"/>
    <w:rsid w:val="007E3F85"/>
    <w:rsid w:val="007E4A2B"/>
    <w:rsid w:val="007F5372"/>
    <w:rsid w:val="00805F6D"/>
    <w:rsid w:val="00810D8C"/>
    <w:rsid w:val="00811CF5"/>
    <w:rsid w:val="0081223A"/>
    <w:rsid w:val="0081521A"/>
    <w:rsid w:val="00817780"/>
    <w:rsid w:val="008213B0"/>
    <w:rsid w:val="00821443"/>
    <w:rsid w:val="008251B9"/>
    <w:rsid w:val="008269BA"/>
    <w:rsid w:val="00831471"/>
    <w:rsid w:val="00841983"/>
    <w:rsid w:val="00841EF7"/>
    <w:rsid w:val="008431B4"/>
    <w:rsid w:val="00843BA0"/>
    <w:rsid w:val="008451F2"/>
    <w:rsid w:val="0085485A"/>
    <w:rsid w:val="00855054"/>
    <w:rsid w:val="00860835"/>
    <w:rsid w:val="00862246"/>
    <w:rsid w:val="008631EB"/>
    <w:rsid w:val="00875D08"/>
    <w:rsid w:val="008761B9"/>
    <w:rsid w:val="008769DF"/>
    <w:rsid w:val="00883760"/>
    <w:rsid w:val="00892275"/>
    <w:rsid w:val="00893DED"/>
    <w:rsid w:val="00894BE9"/>
    <w:rsid w:val="008A14C3"/>
    <w:rsid w:val="008A2B2F"/>
    <w:rsid w:val="008A4E31"/>
    <w:rsid w:val="008C46FE"/>
    <w:rsid w:val="008C6E2B"/>
    <w:rsid w:val="008D0E1C"/>
    <w:rsid w:val="008D490D"/>
    <w:rsid w:val="008E220D"/>
    <w:rsid w:val="008F1539"/>
    <w:rsid w:val="008F40E5"/>
    <w:rsid w:val="00900B05"/>
    <w:rsid w:val="009049D6"/>
    <w:rsid w:val="009079FA"/>
    <w:rsid w:val="00911680"/>
    <w:rsid w:val="00912E53"/>
    <w:rsid w:val="009141EC"/>
    <w:rsid w:val="00917964"/>
    <w:rsid w:val="0092725C"/>
    <w:rsid w:val="00932B93"/>
    <w:rsid w:val="009341A8"/>
    <w:rsid w:val="00934473"/>
    <w:rsid w:val="00935C01"/>
    <w:rsid w:val="009372C2"/>
    <w:rsid w:val="0093766C"/>
    <w:rsid w:val="009435E0"/>
    <w:rsid w:val="00947D9D"/>
    <w:rsid w:val="0095687C"/>
    <w:rsid w:val="00957245"/>
    <w:rsid w:val="0096003D"/>
    <w:rsid w:val="009601F4"/>
    <w:rsid w:val="00970A24"/>
    <w:rsid w:val="0097505A"/>
    <w:rsid w:val="009751B4"/>
    <w:rsid w:val="009925DF"/>
    <w:rsid w:val="00992B49"/>
    <w:rsid w:val="00996367"/>
    <w:rsid w:val="009B0E08"/>
    <w:rsid w:val="009B4D2D"/>
    <w:rsid w:val="009B7D86"/>
    <w:rsid w:val="009C2A7C"/>
    <w:rsid w:val="009C45D1"/>
    <w:rsid w:val="009D01D8"/>
    <w:rsid w:val="009D6F55"/>
    <w:rsid w:val="009E22DE"/>
    <w:rsid w:val="009F1AF9"/>
    <w:rsid w:val="009F62C1"/>
    <w:rsid w:val="009F7FD0"/>
    <w:rsid w:val="00A00B42"/>
    <w:rsid w:val="00A027F6"/>
    <w:rsid w:val="00A04A6C"/>
    <w:rsid w:val="00A15D2E"/>
    <w:rsid w:val="00A215DB"/>
    <w:rsid w:val="00A2391D"/>
    <w:rsid w:val="00A27403"/>
    <w:rsid w:val="00A308B4"/>
    <w:rsid w:val="00A30EF5"/>
    <w:rsid w:val="00A3197D"/>
    <w:rsid w:val="00A34C8C"/>
    <w:rsid w:val="00A36E33"/>
    <w:rsid w:val="00A3772E"/>
    <w:rsid w:val="00A40891"/>
    <w:rsid w:val="00A44ABB"/>
    <w:rsid w:val="00A472AD"/>
    <w:rsid w:val="00A636A6"/>
    <w:rsid w:val="00A64B0D"/>
    <w:rsid w:val="00A665E7"/>
    <w:rsid w:val="00A73D56"/>
    <w:rsid w:val="00A741BF"/>
    <w:rsid w:val="00A77E98"/>
    <w:rsid w:val="00A82504"/>
    <w:rsid w:val="00A84247"/>
    <w:rsid w:val="00A87371"/>
    <w:rsid w:val="00A901AB"/>
    <w:rsid w:val="00A902E0"/>
    <w:rsid w:val="00AA00F5"/>
    <w:rsid w:val="00AA28DD"/>
    <w:rsid w:val="00AA5C6E"/>
    <w:rsid w:val="00AA7942"/>
    <w:rsid w:val="00AB09C6"/>
    <w:rsid w:val="00AB20FB"/>
    <w:rsid w:val="00AB7793"/>
    <w:rsid w:val="00AC2628"/>
    <w:rsid w:val="00AC4E3C"/>
    <w:rsid w:val="00AC5952"/>
    <w:rsid w:val="00AD3EC0"/>
    <w:rsid w:val="00AD7F6F"/>
    <w:rsid w:val="00AE3A93"/>
    <w:rsid w:val="00AE44FC"/>
    <w:rsid w:val="00AF41BB"/>
    <w:rsid w:val="00AF42D3"/>
    <w:rsid w:val="00AF4A78"/>
    <w:rsid w:val="00AF6373"/>
    <w:rsid w:val="00B0012C"/>
    <w:rsid w:val="00B018B5"/>
    <w:rsid w:val="00B03AED"/>
    <w:rsid w:val="00B06C8C"/>
    <w:rsid w:val="00B10C67"/>
    <w:rsid w:val="00B22088"/>
    <w:rsid w:val="00B23A4D"/>
    <w:rsid w:val="00B23C18"/>
    <w:rsid w:val="00B30D14"/>
    <w:rsid w:val="00B35DBD"/>
    <w:rsid w:val="00B41142"/>
    <w:rsid w:val="00B422AB"/>
    <w:rsid w:val="00B4277F"/>
    <w:rsid w:val="00B5084B"/>
    <w:rsid w:val="00B5410C"/>
    <w:rsid w:val="00B65AF1"/>
    <w:rsid w:val="00B65EBF"/>
    <w:rsid w:val="00B67C22"/>
    <w:rsid w:val="00B7197D"/>
    <w:rsid w:val="00B71F16"/>
    <w:rsid w:val="00B731A7"/>
    <w:rsid w:val="00B74B95"/>
    <w:rsid w:val="00B83D1C"/>
    <w:rsid w:val="00B83DFB"/>
    <w:rsid w:val="00B87258"/>
    <w:rsid w:val="00BA1E3D"/>
    <w:rsid w:val="00BA1F23"/>
    <w:rsid w:val="00BA460B"/>
    <w:rsid w:val="00BA61B1"/>
    <w:rsid w:val="00BB42CC"/>
    <w:rsid w:val="00BB4D8C"/>
    <w:rsid w:val="00BD2F6E"/>
    <w:rsid w:val="00BD620D"/>
    <w:rsid w:val="00BE257A"/>
    <w:rsid w:val="00BE6BD9"/>
    <w:rsid w:val="00BE7C61"/>
    <w:rsid w:val="00BF28CE"/>
    <w:rsid w:val="00C014A3"/>
    <w:rsid w:val="00C0184E"/>
    <w:rsid w:val="00C17FD4"/>
    <w:rsid w:val="00C2005B"/>
    <w:rsid w:val="00C21C25"/>
    <w:rsid w:val="00C23D35"/>
    <w:rsid w:val="00C26531"/>
    <w:rsid w:val="00C5412E"/>
    <w:rsid w:val="00C5448E"/>
    <w:rsid w:val="00C54F8B"/>
    <w:rsid w:val="00C606D4"/>
    <w:rsid w:val="00C620BE"/>
    <w:rsid w:val="00C65DC9"/>
    <w:rsid w:val="00C70863"/>
    <w:rsid w:val="00C76EFA"/>
    <w:rsid w:val="00C80D99"/>
    <w:rsid w:val="00C82F97"/>
    <w:rsid w:val="00C85349"/>
    <w:rsid w:val="00C856C1"/>
    <w:rsid w:val="00C86F3C"/>
    <w:rsid w:val="00C87891"/>
    <w:rsid w:val="00C92A3F"/>
    <w:rsid w:val="00C955D5"/>
    <w:rsid w:val="00CA3A8D"/>
    <w:rsid w:val="00CB45A3"/>
    <w:rsid w:val="00CB4854"/>
    <w:rsid w:val="00CB5FE1"/>
    <w:rsid w:val="00CB6C73"/>
    <w:rsid w:val="00CC585B"/>
    <w:rsid w:val="00CD06AD"/>
    <w:rsid w:val="00CD4D97"/>
    <w:rsid w:val="00CE068E"/>
    <w:rsid w:val="00CE778C"/>
    <w:rsid w:val="00CF3144"/>
    <w:rsid w:val="00CF5C74"/>
    <w:rsid w:val="00CF7FF8"/>
    <w:rsid w:val="00D06ADB"/>
    <w:rsid w:val="00D07DCB"/>
    <w:rsid w:val="00D15C83"/>
    <w:rsid w:val="00D17E01"/>
    <w:rsid w:val="00D24188"/>
    <w:rsid w:val="00D2583B"/>
    <w:rsid w:val="00D2679F"/>
    <w:rsid w:val="00D27672"/>
    <w:rsid w:val="00D3102B"/>
    <w:rsid w:val="00D32D69"/>
    <w:rsid w:val="00D37A42"/>
    <w:rsid w:val="00D40055"/>
    <w:rsid w:val="00D43DAB"/>
    <w:rsid w:val="00D452F3"/>
    <w:rsid w:val="00D458DE"/>
    <w:rsid w:val="00D52828"/>
    <w:rsid w:val="00D53649"/>
    <w:rsid w:val="00D5530C"/>
    <w:rsid w:val="00D5702B"/>
    <w:rsid w:val="00D709E7"/>
    <w:rsid w:val="00D756C6"/>
    <w:rsid w:val="00D8157E"/>
    <w:rsid w:val="00D82307"/>
    <w:rsid w:val="00D90986"/>
    <w:rsid w:val="00D91B67"/>
    <w:rsid w:val="00D9653B"/>
    <w:rsid w:val="00D97169"/>
    <w:rsid w:val="00DA07F1"/>
    <w:rsid w:val="00DA29A7"/>
    <w:rsid w:val="00DA61C8"/>
    <w:rsid w:val="00DA6C8B"/>
    <w:rsid w:val="00DB12A7"/>
    <w:rsid w:val="00DB248E"/>
    <w:rsid w:val="00DB438C"/>
    <w:rsid w:val="00DC295E"/>
    <w:rsid w:val="00DC3AA6"/>
    <w:rsid w:val="00DC3BB3"/>
    <w:rsid w:val="00DC6E5A"/>
    <w:rsid w:val="00DD26C3"/>
    <w:rsid w:val="00DD404E"/>
    <w:rsid w:val="00DD5A19"/>
    <w:rsid w:val="00DE7494"/>
    <w:rsid w:val="00E01395"/>
    <w:rsid w:val="00E16C54"/>
    <w:rsid w:val="00E2226C"/>
    <w:rsid w:val="00E22DFF"/>
    <w:rsid w:val="00E249A2"/>
    <w:rsid w:val="00E357EC"/>
    <w:rsid w:val="00E376A8"/>
    <w:rsid w:val="00E37CD3"/>
    <w:rsid w:val="00E43B0C"/>
    <w:rsid w:val="00E44FD6"/>
    <w:rsid w:val="00E5074A"/>
    <w:rsid w:val="00E52F35"/>
    <w:rsid w:val="00E53824"/>
    <w:rsid w:val="00E60B59"/>
    <w:rsid w:val="00E73BC8"/>
    <w:rsid w:val="00E743CB"/>
    <w:rsid w:val="00E74773"/>
    <w:rsid w:val="00E75757"/>
    <w:rsid w:val="00E803BA"/>
    <w:rsid w:val="00E810A2"/>
    <w:rsid w:val="00E84B13"/>
    <w:rsid w:val="00EB3109"/>
    <w:rsid w:val="00EB61B6"/>
    <w:rsid w:val="00EC0AF5"/>
    <w:rsid w:val="00EC49FD"/>
    <w:rsid w:val="00EC4EBF"/>
    <w:rsid w:val="00ED0482"/>
    <w:rsid w:val="00EE13D1"/>
    <w:rsid w:val="00EE3F61"/>
    <w:rsid w:val="00EE71A6"/>
    <w:rsid w:val="00EE7FC9"/>
    <w:rsid w:val="00F05CD8"/>
    <w:rsid w:val="00F136E1"/>
    <w:rsid w:val="00F139AF"/>
    <w:rsid w:val="00F20FBF"/>
    <w:rsid w:val="00F21A60"/>
    <w:rsid w:val="00F26BC3"/>
    <w:rsid w:val="00F27321"/>
    <w:rsid w:val="00F40918"/>
    <w:rsid w:val="00F52598"/>
    <w:rsid w:val="00F533C7"/>
    <w:rsid w:val="00F5391F"/>
    <w:rsid w:val="00F72829"/>
    <w:rsid w:val="00F74739"/>
    <w:rsid w:val="00F7511F"/>
    <w:rsid w:val="00F7571C"/>
    <w:rsid w:val="00F758DE"/>
    <w:rsid w:val="00F7692C"/>
    <w:rsid w:val="00F8107B"/>
    <w:rsid w:val="00F82484"/>
    <w:rsid w:val="00F846A0"/>
    <w:rsid w:val="00F930B8"/>
    <w:rsid w:val="00F944A1"/>
    <w:rsid w:val="00F950A8"/>
    <w:rsid w:val="00FA2131"/>
    <w:rsid w:val="00FA3742"/>
    <w:rsid w:val="00FA5CAD"/>
    <w:rsid w:val="00FA6DF2"/>
    <w:rsid w:val="00FC088B"/>
    <w:rsid w:val="00FC2714"/>
    <w:rsid w:val="00FD100B"/>
    <w:rsid w:val="00FD367A"/>
    <w:rsid w:val="00FE1EB2"/>
    <w:rsid w:val="00FE30E6"/>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5040747F"/>
  <w15:docId w15:val="{3FC659A5-8B1D-436A-A866-47BDF078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50D39-738E-4551-BC7E-4EF553BCB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2116</TotalTime>
  <Pages>11</Pages>
  <Words>1179</Words>
  <Characters>6489</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491</cp:revision>
  <cp:lastPrinted>2018-03-12T09:18:00Z</cp:lastPrinted>
  <dcterms:created xsi:type="dcterms:W3CDTF">2018-02-02T13:49:00Z</dcterms:created>
  <dcterms:modified xsi:type="dcterms:W3CDTF">2018-05-22T08:04:00Z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