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457643">
        <w:rPr>
          <w:rFonts w:ascii="Calibri Light" w:hAnsi="Calibri Light" w:cs="Arial"/>
          <w:b/>
          <w:sz w:val="44"/>
          <w:szCs w:val="44"/>
        </w:rPr>
        <w:t>2</w:t>
      </w:r>
      <w:r w:rsidR="007A5656">
        <w:rPr>
          <w:rFonts w:ascii="Calibri Light" w:hAnsi="Calibri Light" w:cs="Arial"/>
          <w:b/>
          <w:sz w:val="44"/>
          <w:szCs w:val="44"/>
        </w:rPr>
        <w:t>8</w:t>
      </w:r>
      <w:r w:rsidR="001259C9">
        <w:rPr>
          <w:rFonts w:ascii="Calibri Light" w:hAnsi="Calibri Light" w:cs="Arial"/>
          <w:b/>
          <w:sz w:val="44"/>
          <w:szCs w:val="44"/>
        </w:rPr>
        <w:t xml:space="preserve"> mai</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343C28" w:rsidRDefault="00343C28" w:rsidP="00F72829">
      <w:pPr>
        <w:jc w:val="both"/>
        <w:rPr>
          <w:rFonts w:ascii="Arial" w:hAnsi="Arial" w:cs="Arial"/>
          <w:b/>
          <w:sz w:val="22"/>
          <w:szCs w:val="22"/>
        </w:rPr>
      </w:pPr>
    </w:p>
    <w:p w:rsidR="00FB5FC1" w:rsidRPr="00800AB1" w:rsidRDefault="00FB5FC1"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9779FA" w:rsidRDefault="009779FA" w:rsidP="00B65AF1">
      <w:pPr>
        <w:autoSpaceDE w:val="0"/>
        <w:ind w:left="-283"/>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645209" cy="4250725"/>
            <wp:effectExtent l="0" t="0" r="3810" b="0"/>
            <wp:docPr id="7" name="Image 7" descr="C:\Temp\Bloomberg\temp\bfmE9D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E9D4.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2448" cy="4255355"/>
                    </a:xfrm>
                    <a:prstGeom prst="rect">
                      <a:avLst/>
                    </a:prstGeom>
                    <a:noFill/>
                    <a:ln>
                      <a:noFill/>
                    </a:ln>
                  </pic:spPr>
                </pic:pic>
              </a:graphicData>
            </a:graphic>
          </wp:inline>
        </w:drawing>
      </w:r>
    </w:p>
    <w:p w:rsidR="00F72829" w:rsidRPr="009779FA" w:rsidRDefault="00F72829" w:rsidP="00F72829">
      <w:pPr>
        <w:autoSpaceDE w:val="0"/>
        <w:jc w:val="both"/>
        <w:rPr>
          <w:rFonts w:ascii="Arial" w:hAnsi="Arial" w:cs="Arial"/>
          <w:b/>
          <w:sz w:val="28"/>
          <w:szCs w:val="28"/>
          <w:u w:val="single"/>
          <w:lang w:val="en-US"/>
        </w:rPr>
      </w:pPr>
      <w:r w:rsidRPr="009779FA">
        <w:rPr>
          <w:rFonts w:ascii="Arial" w:hAnsi="Arial" w:cs="Arial"/>
          <w:b/>
          <w:sz w:val="28"/>
          <w:szCs w:val="28"/>
          <w:u w:val="single"/>
          <w:lang w:val="en-US"/>
        </w:rPr>
        <w:t>Weekly</w:t>
      </w:r>
    </w:p>
    <w:p w:rsidR="000D4E0C" w:rsidRPr="009779FA" w:rsidRDefault="009779FA" w:rsidP="00B23A4D">
      <w:pPr>
        <w:autoSpaceDE w:val="0"/>
        <w:ind w:left="-283"/>
        <w:jc w:val="both"/>
        <w:rPr>
          <w:rFonts w:ascii="Arial" w:hAnsi="Arial" w:cs="Arial"/>
          <w:b/>
          <w:sz w:val="28"/>
          <w:szCs w:val="28"/>
          <w:u w:val="single"/>
          <w:lang w:val="en-US"/>
        </w:rPr>
      </w:pPr>
      <w:r>
        <w:rPr>
          <w:rFonts w:ascii="Arial" w:hAnsi="Arial" w:cs="Arial"/>
          <w:b/>
          <w:noProof/>
          <w:sz w:val="28"/>
          <w:szCs w:val="28"/>
          <w:u w:val="single"/>
        </w:rPr>
        <w:lastRenderedPageBreak/>
        <w:drawing>
          <wp:inline distT="0" distB="0" distL="0" distR="0">
            <wp:extent cx="6645467" cy="4394063"/>
            <wp:effectExtent l="0" t="0" r="3175" b="6985"/>
            <wp:docPr id="8" name="Image 8" descr="C:\Temp\Bloomberg\temp\bfmE9D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E9D4.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9791" cy="4396922"/>
                    </a:xfrm>
                    <a:prstGeom prst="rect">
                      <a:avLst/>
                    </a:prstGeom>
                    <a:noFill/>
                    <a:ln>
                      <a:noFill/>
                    </a:ln>
                  </pic:spPr>
                </pic:pic>
              </a:graphicData>
            </a:graphic>
          </wp:inline>
        </w:drawing>
      </w:r>
    </w:p>
    <w:p w:rsidR="000D4E0C" w:rsidRPr="009779FA" w:rsidRDefault="005E3841" w:rsidP="00B65AF1">
      <w:pPr>
        <w:autoSpaceDE w:val="0"/>
        <w:ind w:left="-851"/>
        <w:jc w:val="both"/>
        <w:rPr>
          <w:rFonts w:ascii="Arial" w:hAnsi="Arial" w:cs="Arial"/>
          <w:b/>
          <w:sz w:val="28"/>
          <w:szCs w:val="28"/>
          <w:u w:val="single"/>
          <w:lang w:val="en-US"/>
        </w:rPr>
      </w:pPr>
      <w:r w:rsidRPr="009779FA">
        <w:rPr>
          <w:rFonts w:ascii="Arial" w:hAnsi="Arial" w:cs="Arial"/>
          <w:b/>
          <w:sz w:val="28"/>
          <w:szCs w:val="28"/>
          <w:lang w:val="en-US"/>
        </w:rPr>
        <w:t xml:space="preserve">           </w:t>
      </w:r>
      <w:r w:rsidR="000D4E0C" w:rsidRPr="009779FA">
        <w:rPr>
          <w:rFonts w:ascii="Arial" w:hAnsi="Arial" w:cs="Arial"/>
          <w:b/>
          <w:sz w:val="28"/>
          <w:szCs w:val="28"/>
          <w:u w:val="single"/>
          <w:lang w:val="en-US"/>
        </w:rPr>
        <w:t>Daily</w:t>
      </w:r>
    </w:p>
    <w:p w:rsidR="000043C9" w:rsidRPr="009779FA" w:rsidRDefault="009779FA" w:rsidP="00FB5FC1">
      <w:pPr>
        <w:autoSpaceDE w:val="0"/>
        <w:ind w:left="-283"/>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645467" cy="4166698"/>
            <wp:effectExtent l="0" t="0" r="3175" b="5715"/>
            <wp:docPr id="9" name="Image 9" descr="C:\Temp\Bloomberg\temp\bfm92F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92F0.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7360" cy="4167885"/>
                    </a:xfrm>
                    <a:prstGeom prst="rect">
                      <a:avLst/>
                    </a:prstGeom>
                    <a:noFill/>
                    <a:ln>
                      <a:noFill/>
                    </a:ln>
                  </pic:spPr>
                </pic:pic>
              </a:graphicData>
            </a:graphic>
          </wp:inline>
        </w:drawing>
      </w:r>
    </w:p>
    <w:p w:rsidR="00A3197D" w:rsidRDefault="00F72829" w:rsidP="008631EB">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Pr>
          <w:rFonts w:ascii="Tahoma" w:hAnsi="Tahoma" w:cs="Tahoma"/>
        </w:rPr>
        <w:t xml:space="preserve">Le </w:t>
      </w:r>
      <w:r w:rsidR="00A3197D">
        <w:rPr>
          <w:rFonts w:ascii="Tahoma" w:hAnsi="Tahoma" w:cs="Tahoma"/>
        </w:rPr>
        <w:t xml:space="preserve">contexte de </w:t>
      </w:r>
      <w:r w:rsidR="00FA5CAD">
        <w:rPr>
          <w:rFonts w:ascii="Tahoma" w:hAnsi="Tahoma" w:cs="Tahoma"/>
        </w:rPr>
        <w:t>long</w:t>
      </w:r>
      <w:r w:rsidR="00A3197D">
        <w:rPr>
          <w:rFonts w:ascii="Tahoma" w:hAnsi="Tahoma" w:cs="Tahoma"/>
        </w:rPr>
        <w:t xml:space="preserve"> </w:t>
      </w:r>
      <w:r w:rsidR="000043C9">
        <w:rPr>
          <w:rFonts w:ascii="Tahoma" w:hAnsi="Tahoma" w:cs="Tahoma"/>
        </w:rPr>
        <w:t xml:space="preserve">terme est baissier. Le 10 ans </w:t>
      </w:r>
      <w:r w:rsidR="00A3197D">
        <w:rPr>
          <w:rFonts w:ascii="Tahoma" w:hAnsi="Tahoma" w:cs="Tahoma"/>
        </w:rPr>
        <w:t>est positionné sous la borne basse de son nuage qui ser</w:t>
      </w:r>
      <w:r w:rsidR="007046BB">
        <w:rPr>
          <w:rFonts w:ascii="Tahoma" w:hAnsi="Tahoma" w:cs="Tahoma"/>
        </w:rPr>
        <w:t>t</w:t>
      </w:r>
      <w:r w:rsidR="00A3197D">
        <w:rPr>
          <w:rFonts w:ascii="Tahoma" w:hAnsi="Tahoma" w:cs="Tahoma"/>
        </w:rPr>
        <w:t xml:space="preserve"> de résistance sur 0.65</w:t>
      </w:r>
      <w:r w:rsidR="000043C9">
        <w:rPr>
          <w:rFonts w:ascii="Tahoma" w:hAnsi="Tahoma" w:cs="Tahoma"/>
        </w:rPr>
        <w:t>.</w:t>
      </w:r>
    </w:p>
    <w:p w:rsidR="004873C5" w:rsidRDefault="00A3197D" w:rsidP="008631EB">
      <w:pPr>
        <w:jc w:val="both"/>
        <w:rPr>
          <w:rFonts w:ascii="Tahoma" w:hAnsi="Tahoma" w:cs="Tahoma"/>
        </w:rPr>
      </w:pPr>
      <w:r>
        <w:rPr>
          <w:rFonts w:ascii="Tahoma" w:hAnsi="Tahoma" w:cs="Tahoma"/>
        </w:rPr>
        <w:lastRenderedPageBreak/>
        <w:t>Les plats de TS et de KS indiquent que le marché n’est pas en tendance. Cette situation limite la capacité à dépasser les points difficiles.</w:t>
      </w:r>
    </w:p>
    <w:p w:rsidR="004873C5" w:rsidRDefault="00D17E01" w:rsidP="000043C9">
      <w:pPr>
        <w:jc w:val="both"/>
        <w:rPr>
          <w:rFonts w:ascii="Tahoma" w:hAnsi="Tahoma" w:cs="Tahoma"/>
        </w:rPr>
      </w:pPr>
      <w:r>
        <w:rPr>
          <w:rFonts w:ascii="Tahoma" w:hAnsi="Tahoma" w:cs="Tahoma"/>
        </w:rPr>
        <w:t xml:space="preserve">Le </w:t>
      </w:r>
      <w:r w:rsidR="000043C9">
        <w:rPr>
          <w:rFonts w:ascii="Tahoma" w:hAnsi="Tahoma" w:cs="Tahoma"/>
        </w:rPr>
        <w:t>dépassement du plat de TS de 0.54 milite pour une baisse sur le plat de KS de 0.30.</w:t>
      </w:r>
    </w:p>
    <w:p w:rsidR="00FC2714" w:rsidRDefault="00FC2714" w:rsidP="008631EB">
      <w:pPr>
        <w:jc w:val="both"/>
        <w:rPr>
          <w:rFonts w:ascii="Tahoma" w:hAnsi="Tahoma" w:cs="Tahoma"/>
        </w:rPr>
      </w:pPr>
    </w:p>
    <w:p w:rsidR="00BC6555" w:rsidRDefault="003A1222" w:rsidP="007A5656">
      <w:pPr>
        <w:jc w:val="both"/>
        <w:rPr>
          <w:rFonts w:ascii="Tahoma" w:hAnsi="Tahoma" w:cs="Tahoma"/>
        </w:rPr>
      </w:pPr>
      <w:r w:rsidRPr="008631EB">
        <w:rPr>
          <w:rFonts w:ascii="Arial" w:hAnsi="Arial" w:cs="Arial"/>
          <w:b/>
          <w:bCs/>
        </w:rPr>
        <w:t xml:space="preserve">W : </w:t>
      </w:r>
      <w:r w:rsidR="00A27D70" w:rsidRPr="00A27D70">
        <w:rPr>
          <w:rFonts w:ascii="Tahoma" w:hAnsi="Tahoma" w:cs="Tahoma"/>
        </w:rPr>
        <w:t>La</w:t>
      </w:r>
      <w:r w:rsidR="00A27D70">
        <w:rPr>
          <w:rFonts w:ascii="Tahoma" w:hAnsi="Tahoma" w:cs="Tahoma"/>
        </w:rPr>
        <w:t xml:space="preserve"> cassure du plat de KS </w:t>
      </w:r>
      <w:r w:rsidR="00006573">
        <w:rPr>
          <w:rFonts w:ascii="Tahoma" w:hAnsi="Tahoma" w:cs="Tahoma"/>
        </w:rPr>
        <w:t xml:space="preserve">de 0.54 </w:t>
      </w:r>
      <w:r w:rsidR="00A27D70">
        <w:rPr>
          <w:rFonts w:ascii="Tahoma" w:hAnsi="Tahoma" w:cs="Tahoma"/>
        </w:rPr>
        <w:t xml:space="preserve">a permis au 10 ans Euro de revenir sur son nuage. </w:t>
      </w:r>
      <w:r w:rsidR="00BC6555">
        <w:rPr>
          <w:rFonts w:ascii="Tahoma" w:hAnsi="Tahoma" w:cs="Tahoma"/>
        </w:rPr>
        <w:t xml:space="preserve">Le plat de KS servira de force de rappel sur 0.54. De par sa construction la KS restera plate tant que le niveau de 0.28 ne sera pas enfoncé. Ce bas renforce le support de 0.30 évoqué sur le long terme. </w:t>
      </w:r>
    </w:p>
    <w:p w:rsidR="001E7C78" w:rsidRDefault="00BC6555" w:rsidP="007A5656">
      <w:pPr>
        <w:jc w:val="both"/>
        <w:rPr>
          <w:rFonts w:ascii="Tahoma" w:hAnsi="Tahoma" w:cs="Tahoma"/>
        </w:rPr>
      </w:pPr>
      <w:r>
        <w:rPr>
          <w:rFonts w:ascii="Tahoma" w:hAnsi="Tahoma" w:cs="Tahoma"/>
        </w:rPr>
        <w:t>Le nuage</w:t>
      </w:r>
      <w:r w:rsidR="001E7C78">
        <w:rPr>
          <w:rFonts w:ascii="Tahoma" w:hAnsi="Tahoma" w:cs="Tahoma"/>
        </w:rPr>
        <w:t xml:space="preserve"> plat sur 0.38 a servi de support</w:t>
      </w:r>
      <w:r w:rsidR="00407002">
        <w:rPr>
          <w:rFonts w:ascii="Tahoma" w:hAnsi="Tahoma" w:cs="Tahoma"/>
        </w:rPr>
        <w:t>. Compte tenu de son épaisseur, son impact sera faible.</w:t>
      </w:r>
      <w:r w:rsidR="001E7C78">
        <w:rPr>
          <w:rFonts w:ascii="Tahoma" w:hAnsi="Tahoma" w:cs="Tahoma"/>
        </w:rPr>
        <w:t xml:space="preserve"> </w:t>
      </w:r>
      <w:r w:rsidR="00407002">
        <w:rPr>
          <w:rFonts w:ascii="Tahoma" w:hAnsi="Tahoma" w:cs="Tahoma"/>
        </w:rPr>
        <w:t xml:space="preserve">Un maintien de la LS </w:t>
      </w:r>
      <w:r w:rsidR="00404264">
        <w:rPr>
          <w:rFonts w:ascii="Tahoma" w:hAnsi="Tahoma" w:cs="Tahoma"/>
        </w:rPr>
        <w:t>au-dessus</w:t>
      </w:r>
      <w:r w:rsidR="00407002">
        <w:rPr>
          <w:rFonts w:ascii="Tahoma" w:hAnsi="Tahoma" w:cs="Tahoma"/>
        </w:rPr>
        <w:t xml:space="preserve"> du plat de KS de 0.42 éloignera la possibilité de voir le marché cassé le support de 0.38.</w:t>
      </w:r>
    </w:p>
    <w:p w:rsidR="00A82504" w:rsidRDefault="00A82504" w:rsidP="008631EB">
      <w:pPr>
        <w:jc w:val="both"/>
        <w:rPr>
          <w:rFonts w:ascii="Tahoma" w:hAnsi="Tahoma" w:cs="Tahoma"/>
        </w:rPr>
      </w:pPr>
    </w:p>
    <w:p w:rsidR="003556EB" w:rsidRDefault="00A82504" w:rsidP="007A5656">
      <w:pPr>
        <w:jc w:val="both"/>
        <w:rPr>
          <w:rFonts w:ascii="Tahoma" w:hAnsi="Tahoma" w:cs="Tahoma"/>
        </w:rPr>
      </w:pPr>
      <w:r w:rsidRPr="008631EB">
        <w:rPr>
          <w:rFonts w:ascii="Arial" w:hAnsi="Arial" w:cs="Arial"/>
          <w:b/>
          <w:bCs/>
        </w:rPr>
        <w:t xml:space="preserve">D : </w:t>
      </w:r>
      <w:r w:rsidR="003556EB">
        <w:rPr>
          <w:rFonts w:ascii="Tahoma" w:hAnsi="Tahoma" w:cs="Tahoma"/>
        </w:rPr>
        <w:t>Le taux et la LS sous leur nuage, place le court terme dans un environnement baissier sans contraintes. En dehors d</w:t>
      </w:r>
      <w:r w:rsidR="00407002">
        <w:rPr>
          <w:rFonts w:ascii="Tahoma" w:hAnsi="Tahoma" w:cs="Tahoma"/>
        </w:rPr>
        <w:t>’</w:t>
      </w:r>
      <w:r w:rsidR="003556EB">
        <w:rPr>
          <w:rFonts w:ascii="Tahoma" w:hAnsi="Tahoma" w:cs="Tahoma"/>
        </w:rPr>
        <w:t>u</w:t>
      </w:r>
      <w:r w:rsidR="00407002">
        <w:rPr>
          <w:rFonts w:ascii="Tahoma" w:hAnsi="Tahoma" w:cs="Tahoma"/>
        </w:rPr>
        <w:t>n</w:t>
      </w:r>
      <w:r w:rsidR="003556EB">
        <w:rPr>
          <w:rFonts w:ascii="Tahoma" w:hAnsi="Tahoma" w:cs="Tahoma"/>
        </w:rPr>
        <w:t xml:space="preserve"> plat de SSB passée </w:t>
      </w:r>
      <w:r w:rsidR="00407002">
        <w:rPr>
          <w:rFonts w:ascii="Tahoma" w:hAnsi="Tahoma" w:cs="Tahoma"/>
        </w:rPr>
        <w:t>sur</w:t>
      </w:r>
      <w:r w:rsidR="003556EB">
        <w:rPr>
          <w:rFonts w:ascii="Tahoma" w:hAnsi="Tahoma" w:cs="Tahoma"/>
        </w:rPr>
        <w:t xml:space="preserve"> 0.38, les supports seront recherchés sur les unités de temps supérieurs.</w:t>
      </w:r>
    </w:p>
    <w:p w:rsidR="003556EB" w:rsidRDefault="003556EB" w:rsidP="000F109D">
      <w:pPr>
        <w:jc w:val="both"/>
        <w:rPr>
          <w:rFonts w:ascii="Tahoma" w:hAnsi="Tahoma" w:cs="Tahoma"/>
        </w:rPr>
      </w:pPr>
      <w:r>
        <w:rPr>
          <w:rFonts w:ascii="Tahoma" w:hAnsi="Tahoma" w:cs="Tahoma"/>
        </w:rPr>
        <w:t xml:space="preserve">L’écart important entre le taux et la </w:t>
      </w:r>
      <w:r w:rsidR="000F109D">
        <w:rPr>
          <w:rFonts w:ascii="Tahoma" w:hAnsi="Tahoma" w:cs="Tahoma"/>
        </w:rPr>
        <w:t xml:space="preserve">TS nous indique que le marché est sur tendu. </w:t>
      </w:r>
    </w:p>
    <w:p w:rsidR="00F72829" w:rsidRPr="00FA5CAD" w:rsidRDefault="00256885" w:rsidP="00F72829">
      <w:pPr>
        <w:jc w:val="both"/>
        <w:rPr>
          <w:rFonts w:ascii="Tahoma" w:hAnsi="Tahoma" w:cs="Tahoma"/>
        </w:rPr>
      </w:pPr>
      <w:r>
        <w:rPr>
          <w:rFonts w:ascii="Tahoma" w:hAnsi="Tahoma" w:cs="Tahoma"/>
        </w:rPr>
        <w:t xml:space="preserve"> </w:t>
      </w:r>
      <w:r w:rsidR="00A82504" w:rsidRPr="008631EB">
        <w:rPr>
          <w:rFonts w:ascii="Tahoma" w:hAnsi="Tahoma" w:cs="Tahoma"/>
          <w:bCs/>
        </w:rPr>
        <w:t xml:space="preserve"> </w:t>
      </w:r>
    </w:p>
    <w:p w:rsidR="00A30EF5" w:rsidRDefault="00F72829" w:rsidP="00732E1A">
      <w:pPr>
        <w:jc w:val="both"/>
        <w:rPr>
          <w:rFonts w:ascii="Arial" w:hAnsi="Arial" w:cs="Arial"/>
          <w:b/>
          <w:color w:val="00B050"/>
        </w:rPr>
      </w:pPr>
      <w:r w:rsidRPr="00A73D56">
        <w:rPr>
          <w:rFonts w:ascii="Arial" w:hAnsi="Arial" w:cs="Arial"/>
          <w:b/>
          <w:color w:val="00B050"/>
          <w:u w:val="single"/>
        </w:rPr>
        <w:t>HEBDOMADAIRE</w:t>
      </w:r>
      <w:r w:rsidRPr="00A73D56">
        <w:rPr>
          <w:rFonts w:ascii="Arial" w:hAnsi="Arial" w:cs="Arial"/>
          <w:b/>
          <w:color w:val="00B050"/>
        </w:rPr>
        <w:t xml:space="preserve"> : </w:t>
      </w:r>
      <w:r w:rsidR="004411EA">
        <w:rPr>
          <w:rFonts w:ascii="Arial" w:hAnsi="Arial" w:cs="Arial"/>
          <w:b/>
          <w:color w:val="00B050"/>
        </w:rPr>
        <w:t xml:space="preserve">La </w:t>
      </w:r>
      <w:r w:rsidR="000F109D">
        <w:rPr>
          <w:rFonts w:ascii="Arial" w:hAnsi="Arial" w:cs="Arial"/>
          <w:b/>
          <w:color w:val="00B050"/>
        </w:rPr>
        <w:t>rupture du support de 0.54 milite pour un retour du marché sur 0.30.</w:t>
      </w:r>
    </w:p>
    <w:p w:rsidR="000F109D" w:rsidRDefault="000F109D" w:rsidP="00732E1A">
      <w:pPr>
        <w:jc w:val="both"/>
        <w:rPr>
          <w:rFonts w:ascii="Arial" w:hAnsi="Arial" w:cs="Arial"/>
          <w:b/>
          <w:color w:val="00B050"/>
        </w:rPr>
      </w:pPr>
      <w:r>
        <w:rPr>
          <w:rFonts w:ascii="Arial" w:hAnsi="Arial" w:cs="Arial"/>
          <w:b/>
          <w:color w:val="00B050"/>
        </w:rPr>
        <w:t xml:space="preserve">Un support </w:t>
      </w:r>
      <w:r w:rsidR="00404264">
        <w:rPr>
          <w:rFonts w:ascii="Arial" w:hAnsi="Arial" w:cs="Arial"/>
          <w:b/>
          <w:color w:val="00B050"/>
        </w:rPr>
        <w:t>intermédiaire</w:t>
      </w:r>
      <w:r>
        <w:rPr>
          <w:rFonts w:ascii="Arial" w:hAnsi="Arial" w:cs="Arial"/>
          <w:b/>
          <w:color w:val="00B050"/>
        </w:rPr>
        <w:t xml:space="preserve"> est visible sur 0.38 sur le moyen et le court terme.</w:t>
      </w:r>
    </w:p>
    <w:p w:rsidR="000F109D" w:rsidRDefault="000F109D" w:rsidP="00732E1A">
      <w:pPr>
        <w:jc w:val="both"/>
        <w:rPr>
          <w:rFonts w:ascii="Arial" w:hAnsi="Arial" w:cs="Arial"/>
          <w:b/>
          <w:color w:val="00B050"/>
        </w:rPr>
      </w:pPr>
      <w:r>
        <w:rPr>
          <w:rFonts w:ascii="Arial" w:hAnsi="Arial" w:cs="Arial"/>
          <w:b/>
          <w:color w:val="00B050"/>
        </w:rPr>
        <w:t xml:space="preserve">Le marché est sur tendu, une correction est </w:t>
      </w:r>
      <w:r w:rsidR="00404264">
        <w:rPr>
          <w:rFonts w:ascii="Arial" w:hAnsi="Arial" w:cs="Arial"/>
          <w:b/>
          <w:color w:val="00B050"/>
        </w:rPr>
        <w:t>nécessaire</w:t>
      </w:r>
    </w:p>
    <w:p w:rsidR="00C240BD" w:rsidRDefault="00C240BD" w:rsidP="00732E1A">
      <w:pPr>
        <w:jc w:val="both"/>
        <w:rPr>
          <w:rFonts w:ascii="Arial" w:hAnsi="Arial" w:cs="Arial"/>
          <w:b/>
          <w:color w:val="00B050"/>
        </w:rPr>
      </w:pPr>
    </w:p>
    <w:p w:rsidR="00C240BD" w:rsidRPr="00C240BD" w:rsidRDefault="00FB5FC1" w:rsidP="00C240BD">
      <w:pPr>
        <w:jc w:val="both"/>
        <w:rPr>
          <w:rFonts w:ascii="Arial" w:hAnsi="Arial" w:cs="Arial"/>
          <w:b/>
          <w:u w:val="single"/>
        </w:rPr>
      </w:pPr>
      <w:r>
        <w:rPr>
          <w:rFonts w:ascii="Arial" w:hAnsi="Arial" w:cs="Arial"/>
          <w:b/>
          <w:u w:val="single"/>
        </w:rPr>
        <w:t xml:space="preserve">MENSUEL : </w:t>
      </w:r>
      <w:r w:rsidR="00C240BD" w:rsidRPr="00C240BD">
        <w:rPr>
          <w:rFonts w:ascii="Arial" w:hAnsi="Arial" w:cs="Arial"/>
          <w:b/>
          <w:u w:val="single"/>
        </w:rPr>
        <w:t>0.54 servira de pivot au cours des prochaines semaines. Entre 0.28 et 0.80, il représentera le niveau d’équilibre du 10 ans Euro et sans mouvement directionnel marqué, il attirera le taux à lui.</w:t>
      </w:r>
    </w:p>
    <w:p w:rsidR="00C240BD" w:rsidRDefault="00C240BD" w:rsidP="00732E1A">
      <w:pPr>
        <w:jc w:val="both"/>
        <w:rPr>
          <w:rFonts w:ascii="Arial" w:hAnsi="Arial" w:cs="Arial"/>
          <w:b/>
          <w:color w:val="00B050"/>
        </w:rPr>
      </w:pPr>
    </w:p>
    <w:p w:rsidR="005622FD" w:rsidRPr="007D3A98" w:rsidRDefault="005622FD" w:rsidP="00732E1A">
      <w:pPr>
        <w:jc w:val="both"/>
        <w:rPr>
          <w:rFonts w:ascii="Arial" w:hAnsi="Arial" w:cs="Arial"/>
          <w:b/>
          <w:color w:val="FF0000"/>
        </w:rPr>
      </w:pPr>
    </w:p>
    <w:p w:rsidR="00E60B59" w:rsidRPr="000D72F9" w:rsidRDefault="003E1B3F" w:rsidP="003952D7">
      <w:pPr>
        <w:jc w:val="both"/>
        <w:rPr>
          <w:rFonts w:ascii="Arial" w:hAnsi="Arial" w:cs="Arial"/>
          <w:b/>
          <w:bCs/>
          <w:sz w:val="36"/>
          <w:szCs w:val="36"/>
          <w:u w:val="single"/>
          <w:lang w:val="en-US"/>
        </w:rPr>
      </w:pPr>
      <w:r w:rsidRPr="00A40891">
        <w:rPr>
          <w:rFonts w:ascii="Arial" w:hAnsi="Arial" w:cs="Arial"/>
          <w:b/>
          <w:color w:val="FF0000"/>
        </w:rPr>
        <w:t xml:space="preserve">                                          </w:t>
      </w:r>
      <w:r w:rsidRPr="000D72F9">
        <w:rPr>
          <w:rFonts w:ascii="Arial" w:hAnsi="Arial" w:cs="Arial"/>
          <w:b/>
          <w:bCs/>
          <w:sz w:val="36"/>
          <w:szCs w:val="36"/>
          <w:u w:val="single"/>
          <w:lang w:val="en-US"/>
        </w:rPr>
        <w:t>BUND</w:t>
      </w:r>
      <w:r w:rsidR="00E60B59" w:rsidRPr="000D72F9">
        <w:rPr>
          <w:rFonts w:ascii="Arial" w:hAnsi="Arial" w:cs="Arial"/>
          <w:b/>
          <w:bCs/>
          <w:sz w:val="36"/>
          <w:szCs w:val="36"/>
          <w:u w:val="single"/>
          <w:lang w:val="en-US"/>
        </w:rPr>
        <w:t xml:space="preserve">   (week)</w:t>
      </w:r>
    </w:p>
    <w:p w:rsidR="00BA1E3D" w:rsidRPr="000D72F9" w:rsidRDefault="00BA1E3D" w:rsidP="003952D7">
      <w:pPr>
        <w:jc w:val="both"/>
        <w:rPr>
          <w:rFonts w:ascii="Arial" w:hAnsi="Arial" w:cs="Arial"/>
          <w:b/>
          <w:bCs/>
          <w:sz w:val="36"/>
          <w:szCs w:val="36"/>
          <w:u w:val="single"/>
          <w:lang w:val="en-US"/>
        </w:rPr>
      </w:pPr>
    </w:p>
    <w:p w:rsidR="00BA1E3D" w:rsidRPr="000D72F9" w:rsidRDefault="00DA403B" w:rsidP="003952D7">
      <w:pPr>
        <w:jc w:val="both"/>
        <w:rPr>
          <w:rFonts w:ascii="Arial" w:hAnsi="Arial" w:cs="Arial"/>
          <w:b/>
          <w:bCs/>
          <w:sz w:val="36"/>
          <w:szCs w:val="36"/>
          <w:u w:val="single"/>
          <w:lang w:val="en-US"/>
        </w:rPr>
      </w:pPr>
      <w:r>
        <w:rPr>
          <w:noProof/>
        </w:rPr>
        <w:lastRenderedPageBreak/>
        <w:drawing>
          <wp:inline distT="0" distB="0" distL="0" distR="0" wp14:anchorId="74238691" wp14:editId="4161DF2F">
            <wp:extent cx="6645910" cy="5306060"/>
            <wp:effectExtent l="0" t="0" r="254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5306060"/>
                    </a:xfrm>
                    <a:prstGeom prst="rect">
                      <a:avLst/>
                    </a:prstGeom>
                  </pic:spPr>
                </pic:pic>
              </a:graphicData>
            </a:graphic>
          </wp:inline>
        </w:drawing>
      </w:r>
    </w:p>
    <w:p w:rsidR="003E1B3F" w:rsidRPr="000D72F9" w:rsidRDefault="003E1B3F" w:rsidP="003952D7">
      <w:pPr>
        <w:jc w:val="both"/>
        <w:rPr>
          <w:rFonts w:ascii="Arial" w:hAnsi="Arial" w:cs="Arial"/>
          <w:b/>
          <w:color w:val="FF0000"/>
          <w:lang w:val="en-US"/>
        </w:rPr>
      </w:pPr>
    </w:p>
    <w:p w:rsidR="003E1B3F" w:rsidRPr="000D72F9" w:rsidRDefault="003E1B3F" w:rsidP="003952D7">
      <w:pPr>
        <w:jc w:val="both"/>
        <w:rPr>
          <w:rFonts w:ascii="Arial" w:hAnsi="Arial" w:cs="Arial"/>
          <w:b/>
          <w:color w:val="FF0000"/>
          <w:lang w:val="en-US"/>
        </w:rPr>
      </w:pPr>
    </w:p>
    <w:p w:rsidR="0059618B" w:rsidRDefault="00DE7494" w:rsidP="007A5656">
      <w:pPr>
        <w:jc w:val="both"/>
        <w:rPr>
          <w:rFonts w:ascii="Tahoma" w:hAnsi="Tahoma" w:cs="Tahoma"/>
        </w:rPr>
      </w:pPr>
      <w:r w:rsidRPr="0059618B">
        <w:rPr>
          <w:rFonts w:ascii="Tahoma" w:hAnsi="Tahoma" w:cs="Tahoma"/>
        </w:rPr>
        <w:t>- La</w:t>
      </w:r>
      <w:r w:rsidR="0059618B" w:rsidRPr="0059618B">
        <w:rPr>
          <w:rFonts w:ascii="Tahoma" w:hAnsi="Tahoma" w:cs="Tahoma"/>
        </w:rPr>
        <w:t xml:space="preserve"> recherche de la sécurité a propulsé le contrat Bund sur la </w:t>
      </w:r>
      <w:r w:rsidR="0059618B">
        <w:rPr>
          <w:rFonts w:ascii="Tahoma" w:hAnsi="Tahoma" w:cs="Tahoma"/>
        </w:rPr>
        <w:t>borne haute de la dérive latérale.</w:t>
      </w:r>
    </w:p>
    <w:p w:rsidR="0059618B" w:rsidRDefault="0059618B" w:rsidP="007A5656">
      <w:pPr>
        <w:jc w:val="both"/>
        <w:rPr>
          <w:rFonts w:ascii="Tahoma" w:hAnsi="Tahoma" w:cs="Tahoma"/>
        </w:rPr>
      </w:pPr>
    </w:p>
    <w:p w:rsidR="0059618B" w:rsidRDefault="0059618B" w:rsidP="007A5656">
      <w:pPr>
        <w:jc w:val="both"/>
        <w:rPr>
          <w:rFonts w:ascii="Tahoma" w:hAnsi="Tahoma" w:cs="Tahoma"/>
        </w:rPr>
      </w:pPr>
      <w:r>
        <w:rPr>
          <w:rFonts w:ascii="Tahoma" w:hAnsi="Tahoma" w:cs="Tahoma"/>
        </w:rPr>
        <w:t xml:space="preserve">- Après un haut à 161.34, la </w:t>
      </w:r>
      <w:r w:rsidR="00404264">
        <w:rPr>
          <w:rFonts w:ascii="Tahoma" w:hAnsi="Tahoma" w:cs="Tahoma"/>
        </w:rPr>
        <w:t>clôture</w:t>
      </w:r>
      <w:r>
        <w:rPr>
          <w:rFonts w:ascii="Tahoma" w:hAnsi="Tahoma" w:cs="Tahoma"/>
        </w:rPr>
        <w:t xml:space="preserve"> sur 161.17 ne permet pas d’invalider la résistance tracée sur 161.12.</w:t>
      </w:r>
    </w:p>
    <w:p w:rsidR="0059618B" w:rsidRDefault="0059618B" w:rsidP="007A5656">
      <w:pPr>
        <w:jc w:val="both"/>
        <w:rPr>
          <w:rFonts w:ascii="Tahoma" w:hAnsi="Tahoma" w:cs="Tahoma"/>
        </w:rPr>
      </w:pPr>
    </w:p>
    <w:p w:rsidR="0059618B" w:rsidRDefault="0059618B" w:rsidP="007A5656">
      <w:pPr>
        <w:jc w:val="both"/>
        <w:rPr>
          <w:rFonts w:ascii="Tahoma" w:hAnsi="Tahoma" w:cs="Tahoma"/>
        </w:rPr>
      </w:pPr>
      <w:r>
        <w:rPr>
          <w:rFonts w:ascii="Tahoma" w:hAnsi="Tahoma" w:cs="Tahoma"/>
        </w:rPr>
        <w:t xml:space="preserve">- Un dépassement de 161.12 et un maintien des prix </w:t>
      </w:r>
      <w:r w:rsidR="00404264">
        <w:rPr>
          <w:rFonts w:ascii="Tahoma" w:hAnsi="Tahoma" w:cs="Tahoma"/>
        </w:rPr>
        <w:t>au-dessus</w:t>
      </w:r>
      <w:r>
        <w:rPr>
          <w:rFonts w:ascii="Tahoma" w:hAnsi="Tahoma" w:cs="Tahoma"/>
        </w:rPr>
        <w:t xml:space="preserve"> de ce point ser</w:t>
      </w:r>
      <w:r w:rsidR="00E07347">
        <w:rPr>
          <w:rFonts w:ascii="Tahoma" w:hAnsi="Tahoma" w:cs="Tahoma"/>
        </w:rPr>
        <w:t>ont</w:t>
      </w:r>
      <w:r>
        <w:rPr>
          <w:rFonts w:ascii="Tahoma" w:hAnsi="Tahoma" w:cs="Tahoma"/>
        </w:rPr>
        <w:t xml:space="preserve"> </w:t>
      </w:r>
      <w:r w:rsidR="00404264">
        <w:rPr>
          <w:rFonts w:ascii="Tahoma" w:hAnsi="Tahoma" w:cs="Tahoma"/>
        </w:rPr>
        <w:t>nécessaires</w:t>
      </w:r>
      <w:r>
        <w:rPr>
          <w:rFonts w:ascii="Tahoma" w:hAnsi="Tahoma" w:cs="Tahoma"/>
        </w:rPr>
        <w:t xml:space="preserve"> pour envisager une sortie de la zone de consolidation.</w:t>
      </w:r>
    </w:p>
    <w:p w:rsidR="0059618B" w:rsidRDefault="0059618B" w:rsidP="007A5656">
      <w:pPr>
        <w:jc w:val="both"/>
        <w:rPr>
          <w:rFonts w:ascii="Tahoma" w:hAnsi="Tahoma" w:cs="Tahoma"/>
        </w:rPr>
      </w:pPr>
    </w:p>
    <w:p w:rsidR="000B156B" w:rsidRDefault="0059618B" w:rsidP="007A5656">
      <w:pPr>
        <w:jc w:val="both"/>
        <w:rPr>
          <w:rFonts w:ascii="Tahoma" w:hAnsi="Tahoma" w:cs="Tahoma"/>
        </w:rPr>
      </w:pPr>
      <w:r>
        <w:rPr>
          <w:rFonts w:ascii="Tahoma" w:hAnsi="Tahoma" w:cs="Tahoma"/>
        </w:rPr>
        <w:t xml:space="preserve">- </w:t>
      </w:r>
      <w:r w:rsidR="001F4F7F">
        <w:rPr>
          <w:rFonts w:ascii="Tahoma" w:hAnsi="Tahoma" w:cs="Tahoma"/>
        </w:rPr>
        <w:t xml:space="preserve">Un retour du contrat sous 159.90 </w:t>
      </w:r>
      <w:r w:rsidR="002C2DC2">
        <w:rPr>
          <w:rFonts w:ascii="Tahoma" w:hAnsi="Tahoma" w:cs="Tahoma"/>
        </w:rPr>
        <w:t>indiquera l’évacuation d’une partie du stress du marché.</w:t>
      </w:r>
    </w:p>
    <w:p w:rsidR="000B156B" w:rsidRDefault="000B156B" w:rsidP="007A5656">
      <w:pPr>
        <w:jc w:val="both"/>
        <w:rPr>
          <w:rFonts w:ascii="Tahoma" w:hAnsi="Tahoma" w:cs="Tahoma"/>
        </w:rPr>
      </w:pPr>
    </w:p>
    <w:p w:rsidR="00D3102B" w:rsidRPr="0059618B" w:rsidRDefault="000B156B" w:rsidP="007A5656">
      <w:pPr>
        <w:jc w:val="both"/>
        <w:rPr>
          <w:rFonts w:ascii="Tahoma" w:hAnsi="Tahoma" w:cs="Tahoma"/>
        </w:rPr>
      </w:pPr>
      <w:r>
        <w:rPr>
          <w:rFonts w:ascii="Tahoma" w:hAnsi="Tahoma" w:cs="Tahoma"/>
        </w:rPr>
        <w:t xml:space="preserve">- </w:t>
      </w:r>
      <w:r w:rsidR="001929A4">
        <w:rPr>
          <w:rFonts w:ascii="Tahoma" w:hAnsi="Tahoma" w:cs="Tahoma"/>
        </w:rPr>
        <w:t xml:space="preserve">Par la suite, </w:t>
      </w:r>
      <w:r>
        <w:rPr>
          <w:rFonts w:ascii="Tahoma" w:hAnsi="Tahoma" w:cs="Tahoma"/>
        </w:rPr>
        <w:t>TS en support sur 159.38.</w:t>
      </w:r>
      <w:r w:rsidR="001F4F7F">
        <w:rPr>
          <w:rFonts w:ascii="Tahoma" w:hAnsi="Tahoma" w:cs="Tahoma"/>
        </w:rPr>
        <w:t xml:space="preserve">  </w:t>
      </w:r>
    </w:p>
    <w:p w:rsidR="005A5601" w:rsidRPr="0059618B" w:rsidRDefault="005A5601" w:rsidP="00AB20FB">
      <w:pPr>
        <w:jc w:val="both"/>
        <w:rPr>
          <w:rFonts w:ascii="Tahoma" w:hAnsi="Tahoma" w:cs="Tahoma"/>
        </w:rPr>
      </w:pPr>
    </w:p>
    <w:p w:rsidR="005A5601" w:rsidRPr="0059618B" w:rsidRDefault="005A5601" w:rsidP="00AB20FB">
      <w:pPr>
        <w:jc w:val="both"/>
        <w:rPr>
          <w:rFonts w:ascii="Tahoma" w:hAnsi="Tahoma" w:cs="Tahoma"/>
        </w:rPr>
      </w:pPr>
    </w:p>
    <w:p w:rsidR="005A5601" w:rsidRPr="0059618B" w:rsidRDefault="005A5601" w:rsidP="00AB20FB">
      <w:pPr>
        <w:jc w:val="both"/>
        <w:rPr>
          <w:rFonts w:ascii="Tahoma" w:hAnsi="Tahoma" w:cs="Tahoma"/>
        </w:rPr>
      </w:pPr>
    </w:p>
    <w:p w:rsidR="005A5601" w:rsidRDefault="005A5601" w:rsidP="00AB20FB">
      <w:pPr>
        <w:jc w:val="both"/>
        <w:rPr>
          <w:rFonts w:ascii="Tahoma" w:hAnsi="Tahoma" w:cs="Tahoma"/>
        </w:rPr>
      </w:pPr>
    </w:p>
    <w:p w:rsidR="005622FD" w:rsidRPr="0059618B" w:rsidRDefault="005622FD" w:rsidP="00AB20FB">
      <w:pPr>
        <w:jc w:val="both"/>
        <w:rPr>
          <w:rFonts w:ascii="Tahoma" w:hAnsi="Tahoma" w:cs="Tahoma"/>
        </w:rPr>
      </w:pPr>
    </w:p>
    <w:p w:rsidR="00875D08" w:rsidRPr="0059618B" w:rsidRDefault="00875D08" w:rsidP="00AB20FB">
      <w:pPr>
        <w:jc w:val="both"/>
        <w:rPr>
          <w:rFonts w:ascii="Tahoma" w:hAnsi="Tahoma" w:cs="Tahoma"/>
        </w:rPr>
      </w:pPr>
    </w:p>
    <w:p w:rsidR="00E60B59" w:rsidRPr="0059618B" w:rsidRDefault="00B35DBD" w:rsidP="003952D7">
      <w:pPr>
        <w:jc w:val="both"/>
        <w:rPr>
          <w:rFonts w:ascii="Arial" w:hAnsi="Arial" w:cs="Arial"/>
          <w:b/>
          <w:bCs/>
          <w:sz w:val="36"/>
          <w:szCs w:val="36"/>
          <w:u w:val="single"/>
        </w:rPr>
      </w:pPr>
      <w:r w:rsidRPr="0059618B">
        <w:rPr>
          <w:rFonts w:ascii="Tahoma" w:hAnsi="Tahoma" w:cs="Tahoma"/>
        </w:rPr>
        <w:t xml:space="preserve">                                       </w:t>
      </w:r>
      <w:r w:rsidRPr="0059618B">
        <w:rPr>
          <w:rFonts w:ascii="Arial" w:hAnsi="Arial" w:cs="Arial"/>
          <w:b/>
          <w:bCs/>
          <w:sz w:val="36"/>
          <w:szCs w:val="36"/>
          <w:u w:val="single"/>
        </w:rPr>
        <w:t>BUND   (day)</w:t>
      </w:r>
    </w:p>
    <w:p w:rsidR="00B35DBD" w:rsidRPr="0059618B" w:rsidRDefault="00B35DBD" w:rsidP="003952D7">
      <w:pPr>
        <w:jc w:val="both"/>
        <w:rPr>
          <w:rFonts w:ascii="Tahoma" w:hAnsi="Tahoma" w:cs="Tahoma"/>
        </w:rPr>
      </w:pPr>
    </w:p>
    <w:p w:rsidR="00B35DBD" w:rsidRPr="0059618B" w:rsidRDefault="00B35DBD" w:rsidP="003952D7">
      <w:pPr>
        <w:jc w:val="both"/>
        <w:rPr>
          <w:rFonts w:ascii="Arial" w:hAnsi="Arial" w:cs="Arial"/>
          <w:b/>
          <w:color w:val="FF0000"/>
        </w:rPr>
      </w:pPr>
    </w:p>
    <w:p w:rsidR="00A84247" w:rsidRPr="00F20AEE" w:rsidRDefault="00DA403B" w:rsidP="003952D7">
      <w:pPr>
        <w:jc w:val="both"/>
        <w:rPr>
          <w:rFonts w:ascii="Arial" w:hAnsi="Arial" w:cs="Arial"/>
          <w:b/>
          <w:lang w:val="en-US"/>
        </w:rPr>
      </w:pPr>
      <w:r>
        <w:rPr>
          <w:noProof/>
        </w:rPr>
        <w:drawing>
          <wp:inline distT="0" distB="0" distL="0" distR="0" wp14:anchorId="4C692C55" wp14:editId="645C68DC">
            <wp:extent cx="6645910" cy="5306060"/>
            <wp:effectExtent l="0" t="0" r="2540" b="889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5306060"/>
                    </a:xfrm>
                    <a:prstGeom prst="rect">
                      <a:avLst/>
                    </a:prstGeom>
                  </pic:spPr>
                </pic:pic>
              </a:graphicData>
            </a:graphic>
          </wp:inline>
        </w:drawing>
      </w:r>
    </w:p>
    <w:p w:rsidR="00B35DBD" w:rsidRPr="00F20AEE" w:rsidRDefault="00B35DBD" w:rsidP="003952D7">
      <w:pPr>
        <w:jc w:val="both"/>
        <w:rPr>
          <w:rFonts w:ascii="Arial" w:hAnsi="Arial" w:cs="Arial"/>
          <w:b/>
          <w:color w:val="FF0000"/>
          <w:lang w:val="en-US"/>
        </w:rPr>
      </w:pPr>
    </w:p>
    <w:p w:rsidR="008F40E5" w:rsidRDefault="003C27DA" w:rsidP="007A5656">
      <w:pPr>
        <w:jc w:val="both"/>
        <w:rPr>
          <w:rFonts w:ascii="Tahoma" w:hAnsi="Tahoma" w:cs="Tahoma"/>
        </w:rPr>
      </w:pPr>
      <w:r w:rsidRPr="001929A4">
        <w:rPr>
          <w:rFonts w:ascii="Tahoma" w:hAnsi="Tahoma" w:cs="Tahoma"/>
        </w:rPr>
        <w:t xml:space="preserve">- </w:t>
      </w:r>
      <w:r w:rsidR="00141BFC" w:rsidRPr="001929A4">
        <w:rPr>
          <w:rFonts w:ascii="Tahoma" w:hAnsi="Tahoma" w:cs="Tahoma"/>
        </w:rPr>
        <w:t>L</w:t>
      </w:r>
      <w:r w:rsidR="001929A4" w:rsidRPr="001929A4">
        <w:rPr>
          <w:rFonts w:ascii="Tahoma" w:hAnsi="Tahoma" w:cs="Tahoma"/>
        </w:rPr>
        <w:t>’ouverture e</w:t>
      </w:r>
      <w:r w:rsidR="001929A4">
        <w:rPr>
          <w:rFonts w:ascii="Tahoma" w:hAnsi="Tahoma" w:cs="Tahoma"/>
        </w:rPr>
        <w:t xml:space="preserve">n baisse de la matinée </w:t>
      </w:r>
      <w:r w:rsidR="00404264">
        <w:rPr>
          <w:rFonts w:ascii="Tahoma" w:hAnsi="Tahoma" w:cs="Tahoma"/>
        </w:rPr>
        <w:t>pèsera</w:t>
      </w:r>
      <w:r w:rsidR="001929A4">
        <w:rPr>
          <w:rFonts w:ascii="Tahoma" w:hAnsi="Tahoma" w:cs="Tahoma"/>
        </w:rPr>
        <w:t xml:space="preserve"> sur les prix si le contrat de parvient pas à revenir </w:t>
      </w:r>
      <w:r w:rsidR="00404264">
        <w:rPr>
          <w:rFonts w:ascii="Tahoma" w:hAnsi="Tahoma" w:cs="Tahoma"/>
        </w:rPr>
        <w:t>au-dessus</w:t>
      </w:r>
      <w:r w:rsidR="001929A4">
        <w:rPr>
          <w:rFonts w:ascii="Tahoma" w:hAnsi="Tahoma" w:cs="Tahoma"/>
        </w:rPr>
        <w:t xml:space="preserve"> de 160.75.</w:t>
      </w:r>
    </w:p>
    <w:p w:rsidR="001929A4" w:rsidRDefault="001929A4" w:rsidP="007A5656">
      <w:pPr>
        <w:jc w:val="both"/>
        <w:rPr>
          <w:rFonts w:ascii="Tahoma" w:hAnsi="Tahoma" w:cs="Tahoma"/>
        </w:rPr>
      </w:pPr>
    </w:p>
    <w:p w:rsidR="00112363" w:rsidRDefault="001929A4" w:rsidP="007A5656">
      <w:pPr>
        <w:jc w:val="both"/>
        <w:rPr>
          <w:rFonts w:ascii="Tahoma" w:hAnsi="Tahoma" w:cs="Tahoma"/>
        </w:rPr>
      </w:pPr>
      <w:r>
        <w:rPr>
          <w:rFonts w:ascii="Tahoma" w:hAnsi="Tahoma" w:cs="Tahoma"/>
        </w:rPr>
        <w:t xml:space="preserve">- Dans un premier temps, la réduction du stress du marché passera par un retour des cours </w:t>
      </w:r>
      <w:r w:rsidR="00112363">
        <w:rPr>
          <w:rFonts w:ascii="Tahoma" w:hAnsi="Tahoma" w:cs="Tahoma"/>
        </w:rPr>
        <w:t>sous le bas de 160.05.</w:t>
      </w:r>
    </w:p>
    <w:p w:rsidR="00112363" w:rsidRDefault="00112363" w:rsidP="007A5656">
      <w:pPr>
        <w:jc w:val="both"/>
        <w:rPr>
          <w:rFonts w:ascii="Tahoma" w:hAnsi="Tahoma" w:cs="Tahoma"/>
        </w:rPr>
      </w:pPr>
    </w:p>
    <w:p w:rsidR="001929A4" w:rsidRDefault="00383BAC" w:rsidP="007A5656">
      <w:pPr>
        <w:jc w:val="both"/>
        <w:rPr>
          <w:rFonts w:ascii="Tahoma" w:hAnsi="Tahoma" w:cs="Tahoma"/>
        </w:rPr>
      </w:pPr>
      <w:r>
        <w:rPr>
          <w:rFonts w:ascii="Tahoma" w:hAnsi="Tahoma" w:cs="Tahoma"/>
        </w:rPr>
        <w:t xml:space="preserve">- Dans un second temps, </w:t>
      </w:r>
      <w:r w:rsidR="001929A4">
        <w:rPr>
          <w:rFonts w:ascii="Tahoma" w:hAnsi="Tahoma" w:cs="Tahoma"/>
        </w:rPr>
        <w:t>la TS</w:t>
      </w:r>
      <w:r w:rsidR="000C702C">
        <w:rPr>
          <w:rFonts w:ascii="Tahoma" w:hAnsi="Tahoma" w:cs="Tahoma"/>
        </w:rPr>
        <w:t xml:space="preserve"> servira de support sur</w:t>
      </w:r>
      <w:r w:rsidR="001929A4">
        <w:rPr>
          <w:rFonts w:ascii="Tahoma" w:hAnsi="Tahoma" w:cs="Tahoma"/>
        </w:rPr>
        <w:t xml:space="preserve"> 159.53.</w:t>
      </w:r>
    </w:p>
    <w:p w:rsidR="001929A4" w:rsidRDefault="001929A4" w:rsidP="007A5656">
      <w:pPr>
        <w:jc w:val="both"/>
        <w:rPr>
          <w:rFonts w:ascii="Tahoma" w:hAnsi="Tahoma" w:cs="Tahoma"/>
        </w:rPr>
      </w:pPr>
    </w:p>
    <w:p w:rsidR="001929A4" w:rsidRDefault="001929A4" w:rsidP="007A5656">
      <w:pPr>
        <w:jc w:val="both"/>
        <w:rPr>
          <w:rFonts w:ascii="Tahoma" w:hAnsi="Tahoma" w:cs="Tahoma"/>
        </w:rPr>
      </w:pPr>
      <w:r>
        <w:rPr>
          <w:rFonts w:ascii="Tahoma" w:hAnsi="Tahoma" w:cs="Tahoma"/>
        </w:rPr>
        <w:t xml:space="preserve">- La TS sera renforcée par le plat de KS de 159.38 qui reprend l’ancienne résistance de 159.40. </w:t>
      </w:r>
    </w:p>
    <w:p w:rsidR="00E044F2" w:rsidRDefault="00E044F2" w:rsidP="007A5656">
      <w:pPr>
        <w:jc w:val="both"/>
        <w:rPr>
          <w:rFonts w:ascii="Tahoma" w:hAnsi="Tahoma" w:cs="Tahoma"/>
        </w:rPr>
      </w:pPr>
    </w:p>
    <w:p w:rsidR="00E044F2" w:rsidRPr="001929A4" w:rsidRDefault="00E044F2" w:rsidP="007A5656">
      <w:pPr>
        <w:jc w:val="both"/>
        <w:rPr>
          <w:rFonts w:ascii="Tahoma" w:hAnsi="Tahoma" w:cs="Tahoma"/>
        </w:rPr>
      </w:pPr>
    </w:p>
    <w:p w:rsidR="008F40E5" w:rsidRPr="001929A4" w:rsidRDefault="008F40E5" w:rsidP="00457643">
      <w:pPr>
        <w:jc w:val="both"/>
        <w:rPr>
          <w:rFonts w:ascii="Tahoma" w:hAnsi="Tahoma" w:cs="Tahoma"/>
        </w:rPr>
      </w:pPr>
    </w:p>
    <w:p w:rsidR="007658F2" w:rsidRPr="001929A4" w:rsidRDefault="007658F2" w:rsidP="00457643">
      <w:pPr>
        <w:jc w:val="both"/>
        <w:rPr>
          <w:rFonts w:ascii="Tahoma" w:hAnsi="Tahoma" w:cs="Tahoma"/>
        </w:rPr>
      </w:pPr>
      <w:r w:rsidRPr="001929A4">
        <w:rPr>
          <w:rFonts w:ascii="Tahoma" w:hAnsi="Tahoma" w:cs="Tahoma"/>
        </w:rPr>
        <w:t xml:space="preserve"> </w:t>
      </w:r>
    </w:p>
    <w:p w:rsidR="002B4084" w:rsidRPr="001929A4" w:rsidRDefault="002B4084" w:rsidP="00F72829">
      <w:pPr>
        <w:jc w:val="both"/>
        <w:rPr>
          <w:rFonts w:ascii="Tahoma" w:hAnsi="Tahoma" w:cs="Tahoma"/>
        </w:rPr>
      </w:pPr>
    </w:p>
    <w:p w:rsidR="00B65AF1" w:rsidRPr="001929A4" w:rsidRDefault="00B65AF1" w:rsidP="00F72829">
      <w:pPr>
        <w:jc w:val="both"/>
        <w:rPr>
          <w:rFonts w:ascii="Tahoma" w:hAnsi="Tahoma" w:cs="Tahoma"/>
        </w:rPr>
      </w:pPr>
    </w:p>
    <w:p w:rsidR="00B65AF1" w:rsidRPr="001929A4" w:rsidRDefault="00B65AF1" w:rsidP="00F72829">
      <w:pPr>
        <w:jc w:val="both"/>
        <w:rPr>
          <w:rFonts w:ascii="Tahoma" w:hAnsi="Tahoma" w:cs="Tahoma"/>
        </w:rPr>
      </w:pPr>
    </w:p>
    <w:p w:rsidR="00A30EF5" w:rsidRPr="001929A4" w:rsidRDefault="00A30EF5" w:rsidP="00F72829">
      <w:pPr>
        <w:jc w:val="both"/>
        <w:rPr>
          <w:rFonts w:ascii="Tahoma" w:hAnsi="Tahoma" w:cs="Tahoma"/>
        </w:rPr>
      </w:pPr>
    </w:p>
    <w:p w:rsidR="00F72829" w:rsidRPr="001929A4" w:rsidRDefault="004E02D3" w:rsidP="008F40E5">
      <w:pPr>
        <w:jc w:val="both"/>
        <w:rPr>
          <w:rFonts w:ascii="Arial" w:hAnsi="Arial" w:cs="Arial"/>
          <w:b/>
          <w:bCs/>
          <w:sz w:val="36"/>
          <w:szCs w:val="36"/>
          <w:u w:val="single"/>
        </w:rPr>
      </w:pPr>
      <w:r w:rsidRPr="001929A4">
        <w:rPr>
          <w:rFonts w:ascii="Arial" w:hAnsi="Arial" w:cs="Arial"/>
          <w:b/>
          <w:bCs/>
          <w:sz w:val="28"/>
          <w:szCs w:val="28"/>
        </w:rPr>
        <w:t xml:space="preserve"> </w:t>
      </w:r>
      <w:r w:rsidR="00F72829" w:rsidRPr="001929A4">
        <w:rPr>
          <w:rFonts w:ascii="Arial" w:hAnsi="Arial" w:cs="Arial"/>
          <w:b/>
          <w:bCs/>
          <w:sz w:val="28"/>
          <w:szCs w:val="28"/>
        </w:rPr>
        <w:t xml:space="preserve">                                     </w:t>
      </w:r>
      <w:r w:rsidR="00F72829" w:rsidRPr="001929A4">
        <w:rPr>
          <w:rFonts w:ascii="Arial" w:hAnsi="Arial" w:cs="Arial"/>
          <w:b/>
          <w:bCs/>
          <w:sz w:val="36"/>
          <w:szCs w:val="36"/>
          <w:u w:val="single"/>
        </w:rPr>
        <w:t xml:space="preserve">10 ans USA </w:t>
      </w:r>
    </w:p>
    <w:p w:rsidR="00F72829" w:rsidRPr="001929A4" w:rsidRDefault="00F72829" w:rsidP="00BE257A">
      <w:pPr>
        <w:jc w:val="both"/>
        <w:rPr>
          <w:rFonts w:ascii="Arial" w:hAnsi="Arial" w:cs="Arial"/>
          <w:b/>
          <w:sz w:val="28"/>
          <w:szCs w:val="28"/>
          <w:u w:val="single"/>
        </w:rPr>
      </w:pPr>
      <w:r w:rsidRPr="001929A4">
        <w:rPr>
          <w:rFonts w:ascii="Arial" w:hAnsi="Arial" w:cs="Arial"/>
          <w:b/>
          <w:sz w:val="28"/>
          <w:szCs w:val="28"/>
          <w:u w:val="single"/>
        </w:rPr>
        <w:t>Monthly</w:t>
      </w:r>
    </w:p>
    <w:p w:rsidR="00B03AED" w:rsidRPr="00F20AEE" w:rsidRDefault="00736D43" w:rsidP="00B65AF1">
      <w:pPr>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4086" cy="4260610"/>
            <wp:effectExtent l="0" t="0" r="4445" b="6985"/>
            <wp:docPr id="10" name="Image 10" descr="C:\Temp\Bloomberg\temp\bfm8A6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8A69.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5613" cy="4268002"/>
                    </a:xfrm>
                    <a:prstGeom prst="rect">
                      <a:avLst/>
                    </a:prstGeom>
                    <a:noFill/>
                    <a:ln>
                      <a:noFill/>
                    </a:ln>
                  </pic:spPr>
                </pic:pic>
              </a:graphicData>
            </a:graphic>
          </wp:inline>
        </w:drawing>
      </w:r>
    </w:p>
    <w:p w:rsidR="00B03AED" w:rsidRPr="00F20AEE" w:rsidRDefault="00B03AED" w:rsidP="006E6472">
      <w:pPr>
        <w:jc w:val="both"/>
        <w:rPr>
          <w:rFonts w:ascii="Arial" w:hAnsi="Arial" w:cs="Arial"/>
          <w:b/>
          <w:bCs/>
          <w:sz w:val="28"/>
          <w:szCs w:val="28"/>
          <w:u w:val="single"/>
          <w:lang w:val="en-US"/>
        </w:rPr>
      </w:pPr>
      <w:r w:rsidRPr="00F20AEE">
        <w:rPr>
          <w:rFonts w:ascii="Arial" w:hAnsi="Arial" w:cs="Arial"/>
          <w:b/>
          <w:bCs/>
          <w:sz w:val="28"/>
          <w:szCs w:val="28"/>
          <w:u w:val="single"/>
          <w:lang w:val="en-US"/>
        </w:rPr>
        <w:t>Weekly</w:t>
      </w:r>
    </w:p>
    <w:p w:rsidR="006E6472" w:rsidRPr="00F20AEE" w:rsidRDefault="00736D43"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4708" cy="4384178"/>
            <wp:effectExtent l="0" t="0" r="3810" b="0"/>
            <wp:docPr id="11" name="Image 11" descr="C:\Temp\Bloomberg\temp\bfmDC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DC03.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2952" cy="4389617"/>
                    </a:xfrm>
                    <a:prstGeom prst="rect">
                      <a:avLst/>
                    </a:prstGeom>
                    <a:noFill/>
                    <a:ln>
                      <a:noFill/>
                    </a:ln>
                  </pic:spPr>
                </pic:pic>
              </a:graphicData>
            </a:graphic>
          </wp:inline>
        </w:drawing>
      </w:r>
    </w:p>
    <w:p w:rsidR="00B03AED" w:rsidRPr="00F20AEE" w:rsidRDefault="00A30EF5" w:rsidP="006E6472">
      <w:pPr>
        <w:ind w:left="-850"/>
        <w:jc w:val="both"/>
        <w:rPr>
          <w:rFonts w:ascii="Arial" w:hAnsi="Arial" w:cs="Arial"/>
          <w:b/>
          <w:bCs/>
          <w:sz w:val="28"/>
          <w:szCs w:val="28"/>
          <w:u w:val="single"/>
          <w:lang w:val="en-US"/>
        </w:rPr>
      </w:pPr>
      <w:r w:rsidRPr="00F20AEE">
        <w:rPr>
          <w:rFonts w:ascii="Arial" w:hAnsi="Arial" w:cs="Arial"/>
          <w:b/>
          <w:bCs/>
          <w:sz w:val="28"/>
          <w:szCs w:val="28"/>
          <w:lang w:val="en-US"/>
        </w:rPr>
        <w:t xml:space="preserve">       </w:t>
      </w:r>
      <w:r w:rsidR="00B4277F" w:rsidRPr="00F20AEE">
        <w:rPr>
          <w:rFonts w:ascii="Arial" w:hAnsi="Arial" w:cs="Arial"/>
          <w:b/>
          <w:bCs/>
          <w:sz w:val="28"/>
          <w:szCs w:val="28"/>
          <w:lang w:val="en-US"/>
        </w:rPr>
        <w:t xml:space="preserve">   </w:t>
      </w:r>
      <w:r w:rsidR="00B03AED" w:rsidRPr="00F20AEE">
        <w:rPr>
          <w:rFonts w:ascii="Arial" w:hAnsi="Arial" w:cs="Arial"/>
          <w:b/>
          <w:bCs/>
          <w:sz w:val="28"/>
          <w:szCs w:val="28"/>
          <w:u w:val="single"/>
          <w:lang w:val="en-US"/>
        </w:rPr>
        <w:t xml:space="preserve">Daily </w:t>
      </w:r>
    </w:p>
    <w:p w:rsidR="001A7163" w:rsidRPr="009779FA" w:rsidRDefault="00736D43" w:rsidP="005622FD">
      <w:pPr>
        <w:ind w:left="-283"/>
        <w:jc w:val="both"/>
        <w:rPr>
          <w:rFonts w:ascii="Arial" w:hAnsi="Arial" w:cs="Arial"/>
          <w:b/>
          <w:bCs/>
          <w:sz w:val="28"/>
          <w:szCs w:val="28"/>
          <w:u w:val="single"/>
        </w:rPr>
      </w:pPr>
      <w:r>
        <w:rPr>
          <w:rFonts w:ascii="Arial" w:hAnsi="Arial" w:cs="Arial"/>
          <w:b/>
          <w:bCs/>
          <w:noProof/>
          <w:sz w:val="28"/>
          <w:szCs w:val="28"/>
          <w:u w:val="single"/>
        </w:rPr>
        <w:lastRenderedPageBreak/>
        <w:drawing>
          <wp:inline distT="0" distB="0" distL="0" distR="0">
            <wp:extent cx="6644005" cy="4310037"/>
            <wp:effectExtent l="0" t="0" r="4445" b="0"/>
            <wp:docPr id="12" name="Image 12" descr="C:\Temp\Bloomberg\temp\bfm476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4763.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6674" cy="4318256"/>
                    </a:xfrm>
                    <a:prstGeom prst="rect">
                      <a:avLst/>
                    </a:prstGeom>
                    <a:noFill/>
                    <a:ln>
                      <a:noFill/>
                    </a:ln>
                  </pic:spPr>
                </pic:pic>
              </a:graphicData>
            </a:graphic>
          </wp:inline>
        </w:drawing>
      </w:r>
    </w:p>
    <w:p w:rsidR="003B75F0" w:rsidRDefault="00D2583B" w:rsidP="00D2583B">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3B75F0">
        <w:rPr>
          <w:rFonts w:ascii="Tahoma" w:hAnsi="Tahoma" w:cs="Tahoma"/>
        </w:rPr>
        <w:t xml:space="preserve">Le contexte est haussier sur le long terme et seul un retour de la LS sous 2.69 </w:t>
      </w:r>
      <w:r w:rsidR="004801A4">
        <w:rPr>
          <w:rFonts w:ascii="Tahoma" w:hAnsi="Tahoma" w:cs="Tahoma"/>
        </w:rPr>
        <w:t>nous alertera sur la possibilité de voir le 10 ans US remettre en question cet environnement.</w:t>
      </w:r>
    </w:p>
    <w:p w:rsidR="00D2583B" w:rsidRDefault="004801A4" w:rsidP="001A7163">
      <w:pPr>
        <w:tabs>
          <w:tab w:val="left" w:pos="5868"/>
        </w:tabs>
        <w:autoSpaceDE w:val="0"/>
        <w:jc w:val="both"/>
        <w:rPr>
          <w:rFonts w:ascii="Tahoma" w:hAnsi="Tahoma" w:cs="Tahoma"/>
        </w:rPr>
      </w:pPr>
      <w:r>
        <w:rPr>
          <w:rFonts w:ascii="Tahoma" w:hAnsi="Tahoma" w:cs="Tahoma"/>
        </w:rPr>
        <w:t xml:space="preserve">Le dépassement du précédent haut de 3.05 </w:t>
      </w:r>
      <w:r w:rsidR="001A7163">
        <w:rPr>
          <w:rFonts w:ascii="Tahoma" w:hAnsi="Tahoma" w:cs="Tahoma"/>
        </w:rPr>
        <w:t>permet d’en</w:t>
      </w:r>
      <w:r w:rsidR="00E07347">
        <w:rPr>
          <w:rFonts w:ascii="Tahoma" w:hAnsi="Tahoma" w:cs="Tahoma"/>
        </w:rPr>
        <w:t>vi</w:t>
      </w:r>
      <w:r w:rsidR="001A7163">
        <w:rPr>
          <w:rFonts w:ascii="Tahoma" w:hAnsi="Tahoma" w:cs="Tahoma"/>
        </w:rPr>
        <w:t>sager une poursuite de la hausse.</w:t>
      </w:r>
    </w:p>
    <w:p w:rsidR="001A7163" w:rsidRDefault="001A7163" w:rsidP="001A7163">
      <w:pPr>
        <w:tabs>
          <w:tab w:val="left" w:pos="5868"/>
        </w:tabs>
        <w:autoSpaceDE w:val="0"/>
        <w:jc w:val="both"/>
        <w:rPr>
          <w:rFonts w:ascii="Tahoma" w:hAnsi="Tahoma" w:cs="Tahoma"/>
        </w:rPr>
      </w:pPr>
      <w:r>
        <w:rPr>
          <w:rFonts w:ascii="Tahoma" w:hAnsi="Tahoma" w:cs="Tahoma"/>
        </w:rPr>
        <w:t>Attention à la correction qui a pris naissance après le haut de 3.12</w:t>
      </w:r>
      <w:r w:rsidR="00480883">
        <w:rPr>
          <w:rFonts w:ascii="Tahoma" w:hAnsi="Tahoma" w:cs="Tahoma"/>
        </w:rPr>
        <w:t xml:space="preserve">, une </w:t>
      </w:r>
      <w:r w:rsidR="00404264">
        <w:rPr>
          <w:rFonts w:ascii="Tahoma" w:hAnsi="Tahoma" w:cs="Tahoma"/>
        </w:rPr>
        <w:t>clôture</w:t>
      </w:r>
      <w:r w:rsidR="00480883">
        <w:rPr>
          <w:rFonts w:ascii="Tahoma" w:hAnsi="Tahoma" w:cs="Tahoma"/>
        </w:rPr>
        <w:t xml:space="preserve"> mensuelle sous 2.95 sera interprétée comme une alerte</w:t>
      </w:r>
      <w:r w:rsidR="00E07347">
        <w:rPr>
          <w:rFonts w:ascii="Tahoma" w:hAnsi="Tahoma" w:cs="Tahoma"/>
        </w:rPr>
        <w:t>.</w:t>
      </w:r>
      <w:r w:rsidR="00480883">
        <w:rPr>
          <w:rFonts w:ascii="Tahoma" w:hAnsi="Tahoma" w:cs="Tahoma"/>
        </w:rPr>
        <w:t xml:space="preserve"> </w:t>
      </w:r>
      <w:r w:rsidR="00E07347">
        <w:rPr>
          <w:rFonts w:ascii="Tahoma" w:hAnsi="Tahoma" w:cs="Tahoma"/>
        </w:rPr>
        <w:t>Elle</w:t>
      </w:r>
      <w:r w:rsidR="00480883">
        <w:rPr>
          <w:rFonts w:ascii="Tahoma" w:hAnsi="Tahoma" w:cs="Tahoma"/>
        </w:rPr>
        <w:t xml:space="preserve"> remettra en question la poursuite de la hausse tant que le marché se maintiendra sous 3.12.</w:t>
      </w:r>
    </w:p>
    <w:p w:rsidR="00D8157E" w:rsidRDefault="00D8157E" w:rsidP="00D2583B">
      <w:pPr>
        <w:tabs>
          <w:tab w:val="left" w:pos="5868"/>
        </w:tabs>
        <w:autoSpaceDE w:val="0"/>
        <w:jc w:val="both"/>
        <w:rPr>
          <w:rFonts w:ascii="Tahoma" w:hAnsi="Tahoma" w:cs="Tahoma"/>
        </w:rPr>
      </w:pPr>
    </w:p>
    <w:p w:rsidR="00E866B7" w:rsidRDefault="00D2583B" w:rsidP="007A5656">
      <w:pPr>
        <w:jc w:val="both"/>
        <w:rPr>
          <w:rFonts w:ascii="Tahoma" w:hAnsi="Tahoma" w:cs="Tahoma"/>
          <w:bCs/>
        </w:rPr>
      </w:pPr>
      <w:bookmarkStart w:id="1" w:name="_Hlk510791573"/>
      <w:r w:rsidRPr="00F950A8">
        <w:rPr>
          <w:rFonts w:ascii="Arial" w:hAnsi="Arial" w:cs="Arial"/>
          <w:b/>
          <w:bCs/>
        </w:rPr>
        <w:t xml:space="preserve">W : </w:t>
      </w:r>
      <w:r w:rsidR="00E866B7">
        <w:rPr>
          <w:rFonts w:ascii="Tahoma" w:hAnsi="Tahoma" w:cs="Tahoma"/>
          <w:bCs/>
        </w:rPr>
        <w:t xml:space="preserve">La tendance est haussière et la correction a permis au 10 ans de revenir sur sa TS. Cette </w:t>
      </w:r>
      <w:r w:rsidR="00404264">
        <w:rPr>
          <w:rFonts w:ascii="Tahoma" w:hAnsi="Tahoma" w:cs="Tahoma"/>
          <w:bCs/>
        </w:rPr>
        <w:t>dernière</w:t>
      </w:r>
      <w:r w:rsidR="00E866B7">
        <w:rPr>
          <w:rFonts w:ascii="Tahoma" w:hAnsi="Tahoma" w:cs="Tahoma"/>
          <w:bCs/>
        </w:rPr>
        <w:t xml:space="preserve"> est plate sur 2.93. Elle sert de support. En cassure le taux s’orientera sur </w:t>
      </w:r>
      <w:r w:rsidR="00E07347">
        <w:rPr>
          <w:rFonts w:ascii="Tahoma" w:hAnsi="Tahoma" w:cs="Tahoma"/>
          <w:bCs/>
        </w:rPr>
        <w:t>son plat de</w:t>
      </w:r>
      <w:r w:rsidR="00E866B7">
        <w:rPr>
          <w:rFonts w:ascii="Tahoma" w:hAnsi="Tahoma" w:cs="Tahoma"/>
          <w:bCs/>
        </w:rPr>
        <w:t xml:space="preserve"> KS </w:t>
      </w:r>
      <w:r w:rsidR="00E07347">
        <w:rPr>
          <w:rFonts w:ascii="Tahoma" w:hAnsi="Tahoma" w:cs="Tahoma"/>
          <w:bCs/>
        </w:rPr>
        <w:t>de</w:t>
      </w:r>
      <w:r w:rsidR="00E866B7">
        <w:rPr>
          <w:rFonts w:ascii="Tahoma" w:hAnsi="Tahoma" w:cs="Tahoma"/>
          <w:bCs/>
        </w:rPr>
        <w:t xml:space="preserve"> 2.72. </w:t>
      </w:r>
    </w:p>
    <w:p w:rsidR="00EE71A6" w:rsidRDefault="00E866B7" w:rsidP="007A5656">
      <w:pPr>
        <w:jc w:val="both"/>
        <w:rPr>
          <w:rFonts w:ascii="Tahoma" w:hAnsi="Tahoma" w:cs="Tahoma"/>
          <w:bCs/>
        </w:rPr>
      </w:pPr>
      <w:r>
        <w:rPr>
          <w:rFonts w:ascii="Tahoma" w:hAnsi="Tahoma" w:cs="Tahoma"/>
          <w:bCs/>
        </w:rPr>
        <w:t xml:space="preserve">Depuis le dernier trimestre 2017, le mouvement de hausse </w:t>
      </w:r>
      <w:r w:rsidR="00B4102E">
        <w:rPr>
          <w:rFonts w:ascii="Tahoma" w:hAnsi="Tahoma" w:cs="Tahoma"/>
          <w:bCs/>
        </w:rPr>
        <w:t>s’appuie sur la</w:t>
      </w:r>
      <w:r>
        <w:rPr>
          <w:rFonts w:ascii="Tahoma" w:hAnsi="Tahoma" w:cs="Tahoma"/>
          <w:bCs/>
        </w:rPr>
        <w:t xml:space="preserve"> TS. Les ruptures ont été limitées et la KS n’a pas été touché. Dans ce contexte, une cassure de 2.93 devrait être limitée en amplitude et maintenir le marché </w:t>
      </w:r>
      <w:r w:rsidR="00404264">
        <w:rPr>
          <w:rFonts w:ascii="Tahoma" w:hAnsi="Tahoma" w:cs="Tahoma"/>
          <w:bCs/>
        </w:rPr>
        <w:t>au-dessus</w:t>
      </w:r>
      <w:r>
        <w:rPr>
          <w:rFonts w:ascii="Tahoma" w:hAnsi="Tahoma" w:cs="Tahoma"/>
          <w:bCs/>
        </w:rPr>
        <w:t xml:space="preserve"> de 2.72. </w:t>
      </w:r>
    </w:p>
    <w:p w:rsidR="001259C9" w:rsidRPr="00934473" w:rsidRDefault="001259C9" w:rsidP="001259C9">
      <w:pPr>
        <w:jc w:val="both"/>
        <w:rPr>
          <w:rFonts w:ascii="Arial" w:hAnsi="Arial" w:cs="Arial"/>
          <w:b/>
          <w:bCs/>
          <w:sz w:val="28"/>
          <w:szCs w:val="28"/>
          <w:u w:val="single"/>
        </w:rPr>
      </w:pPr>
    </w:p>
    <w:p w:rsidR="002D3EC9" w:rsidRPr="00F950A8" w:rsidRDefault="00CF7FF8" w:rsidP="00457643">
      <w:pPr>
        <w:jc w:val="both"/>
        <w:rPr>
          <w:rFonts w:ascii="Tahoma" w:hAnsi="Tahoma" w:cs="Tahoma"/>
          <w:bCs/>
        </w:rPr>
      </w:pPr>
      <w:r w:rsidRPr="00F950A8">
        <w:rPr>
          <w:rFonts w:ascii="Arial" w:hAnsi="Arial" w:cs="Arial"/>
          <w:b/>
          <w:bCs/>
        </w:rPr>
        <w:t xml:space="preserve">D : </w:t>
      </w:r>
      <w:r w:rsidR="00D31DF7">
        <w:rPr>
          <w:rFonts w:ascii="Tahoma" w:hAnsi="Tahoma" w:cs="Tahoma"/>
          <w:bCs/>
        </w:rPr>
        <w:t xml:space="preserve">La cassure de la TS et de la KS par le taux </w:t>
      </w:r>
      <w:r w:rsidR="00326A93">
        <w:rPr>
          <w:rFonts w:ascii="Tahoma" w:hAnsi="Tahoma" w:cs="Tahoma"/>
          <w:bCs/>
        </w:rPr>
        <w:t xml:space="preserve">va diriger le marché vers son nuage. </w:t>
      </w:r>
      <w:r w:rsidR="00B4102E">
        <w:rPr>
          <w:rFonts w:ascii="Tahoma" w:hAnsi="Tahoma" w:cs="Tahoma"/>
          <w:bCs/>
        </w:rPr>
        <w:t>Il servira de support sur 2.90 – 2.87 au cours des prochaines séances.</w:t>
      </w:r>
    </w:p>
    <w:bookmarkEnd w:id="1"/>
    <w:p w:rsidR="0093766C" w:rsidRPr="006E6472" w:rsidRDefault="00CF7FF8" w:rsidP="006E6472">
      <w:pPr>
        <w:jc w:val="both"/>
        <w:rPr>
          <w:rFonts w:ascii="Tahoma" w:hAnsi="Tahoma" w:cs="Tahoma"/>
          <w:bCs/>
        </w:rPr>
      </w:pPr>
      <w:r w:rsidRPr="00F950A8">
        <w:rPr>
          <w:rFonts w:ascii="Tahoma" w:hAnsi="Tahoma" w:cs="Tahoma"/>
          <w:bCs/>
        </w:rPr>
        <w:t xml:space="preserve">  </w:t>
      </w:r>
    </w:p>
    <w:p w:rsidR="00A34C8C" w:rsidRDefault="00F72829" w:rsidP="007A5656">
      <w:pPr>
        <w:jc w:val="both"/>
        <w:rPr>
          <w:rFonts w:ascii="Arial" w:hAnsi="Arial" w:cs="Arial"/>
          <w:b/>
          <w:color w:val="00B050"/>
        </w:rPr>
      </w:pPr>
      <w:r w:rsidRPr="00D15C83">
        <w:rPr>
          <w:rFonts w:ascii="Arial" w:hAnsi="Arial" w:cs="Arial"/>
          <w:b/>
          <w:color w:val="00B050"/>
          <w:u w:val="single"/>
        </w:rPr>
        <w:t>HEBDOMADAIRE</w:t>
      </w:r>
      <w:r w:rsidRPr="00D15C83">
        <w:rPr>
          <w:rFonts w:ascii="Arial" w:hAnsi="Arial" w:cs="Arial"/>
          <w:b/>
          <w:color w:val="00B050"/>
        </w:rPr>
        <w:t xml:space="preserve"> : </w:t>
      </w:r>
      <w:r w:rsidR="00FC088B">
        <w:rPr>
          <w:rFonts w:ascii="Arial" w:hAnsi="Arial" w:cs="Arial"/>
          <w:b/>
          <w:color w:val="00B050"/>
        </w:rPr>
        <w:t xml:space="preserve">Le </w:t>
      </w:r>
      <w:r w:rsidR="00326A93">
        <w:rPr>
          <w:rFonts w:ascii="Arial" w:hAnsi="Arial" w:cs="Arial"/>
          <w:b/>
          <w:color w:val="00B050"/>
        </w:rPr>
        <w:t>marché corrige après avoir testé sa résistance de 3.05.</w:t>
      </w:r>
    </w:p>
    <w:p w:rsidR="00326A93" w:rsidRDefault="00326A93" w:rsidP="007A5656">
      <w:pPr>
        <w:jc w:val="both"/>
        <w:rPr>
          <w:rFonts w:ascii="Arial" w:hAnsi="Arial" w:cs="Arial"/>
          <w:b/>
          <w:color w:val="00B050"/>
        </w:rPr>
      </w:pPr>
      <w:r>
        <w:rPr>
          <w:rFonts w:ascii="Arial" w:hAnsi="Arial" w:cs="Arial"/>
          <w:b/>
          <w:color w:val="00B050"/>
        </w:rPr>
        <w:t>Cette correction restera inscrite dans un environneme</w:t>
      </w:r>
      <w:r w:rsidR="00304D6E">
        <w:rPr>
          <w:rFonts w:ascii="Arial" w:hAnsi="Arial" w:cs="Arial"/>
          <w:b/>
          <w:color w:val="00B050"/>
        </w:rPr>
        <w:t>n</w:t>
      </w:r>
      <w:r>
        <w:rPr>
          <w:rFonts w:ascii="Arial" w:hAnsi="Arial" w:cs="Arial"/>
          <w:b/>
          <w:color w:val="00B050"/>
        </w:rPr>
        <w:t>t haussier tant que le support de 2.69 ne sera pas invalidé.</w:t>
      </w:r>
      <w:r w:rsidR="005770A5">
        <w:rPr>
          <w:rFonts w:ascii="Arial" w:hAnsi="Arial" w:cs="Arial"/>
          <w:b/>
          <w:color w:val="00B050"/>
        </w:rPr>
        <w:t xml:space="preserve"> La rupture de 2.72 nous alertera sur la possibilité de voir le marché aller plus bas mais aupar</w:t>
      </w:r>
      <w:r w:rsidR="00304D6E">
        <w:rPr>
          <w:rFonts w:ascii="Arial" w:hAnsi="Arial" w:cs="Arial"/>
          <w:b/>
          <w:color w:val="00B050"/>
        </w:rPr>
        <w:t>av</w:t>
      </w:r>
      <w:r w:rsidR="005770A5">
        <w:rPr>
          <w:rFonts w:ascii="Arial" w:hAnsi="Arial" w:cs="Arial"/>
          <w:b/>
          <w:color w:val="00B050"/>
        </w:rPr>
        <w:t>ant, 2.87 servira de support.</w:t>
      </w:r>
    </w:p>
    <w:p w:rsidR="00C240BD" w:rsidRDefault="00C240BD" w:rsidP="007A5656">
      <w:pPr>
        <w:jc w:val="both"/>
        <w:rPr>
          <w:rFonts w:ascii="Arial" w:hAnsi="Arial" w:cs="Arial"/>
          <w:b/>
          <w:bCs/>
          <w:color w:val="FF0000"/>
          <w:sz w:val="28"/>
          <w:szCs w:val="28"/>
        </w:rPr>
      </w:pPr>
    </w:p>
    <w:p w:rsidR="00C240BD" w:rsidRDefault="005622FD" w:rsidP="007A5656">
      <w:pPr>
        <w:jc w:val="both"/>
        <w:rPr>
          <w:rFonts w:ascii="Arial" w:hAnsi="Arial" w:cs="Arial"/>
          <w:b/>
          <w:u w:val="single"/>
        </w:rPr>
      </w:pPr>
      <w:r>
        <w:rPr>
          <w:rFonts w:ascii="Arial" w:hAnsi="Arial" w:cs="Arial"/>
          <w:b/>
          <w:u w:val="single"/>
        </w:rPr>
        <w:t xml:space="preserve">MENSUEL : </w:t>
      </w:r>
      <w:r w:rsidR="00C240BD" w:rsidRPr="00C240BD">
        <w:rPr>
          <w:rFonts w:ascii="Arial" w:hAnsi="Arial" w:cs="Arial"/>
          <w:b/>
          <w:u w:val="single"/>
        </w:rPr>
        <w:t>Le 10 ans US a franchi temporairement sa résistance de 3.05 pour toucher un haut à 3.12. Depuis ce haut, le marché corrige. L’amplitude de la semaine dernière, 2.95 – 3.12 servira de zone neutre. Le franchissement d’un de ces points donnera le sens</w:t>
      </w:r>
      <w:r>
        <w:rPr>
          <w:rFonts w:ascii="Arial" w:hAnsi="Arial" w:cs="Arial"/>
          <w:b/>
          <w:u w:val="single"/>
        </w:rPr>
        <w:t xml:space="preserve"> à venir</w:t>
      </w:r>
    </w:p>
    <w:p w:rsidR="00E47D77" w:rsidRPr="005622FD" w:rsidRDefault="00E47D77" w:rsidP="007A5656">
      <w:pPr>
        <w:jc w:val="both"/>
        <w:rPr>
          <w:rFonts w:ascii="Arial" w:hAnsi="Arial" w:cs="Arial"/>
          <w:b/>
          <w:u w:val="single"/>
        </w:rPr>
      </w:pPr>
    </w:p>
    <w:p w:rsidR="00EB3109" w:rsidRPr="009779FA" w:rsidRDefault="00D43DAB" w:rsidP="00D43DAB">
      <w:pPr>
        <w:jc w:val="both"/>
        <w:rPr>
          <w:rFonts w:ascii="Arial" w:hAnsi="Arial" w:cs="Arial"/>
          <w:b/>
          <w:bCs/>
          <w:sz w:val="36"/>
          <w:szCs w:val="36"/>
          <w:u w:val="single"/>
          <w:lang w:val="en-US"/>
        </w:rPr>
      </w:pPr>
      <w:r w:rsidRPr="00C014A3">
        <w:rPr>
          <w:rFonts w:ascii="Arial" w:hAnsi="Arial" w:cs="Arial"/>
          <w:b/>
          <w:bCs/>
          <w:sz w:val="36"/>
          <w:szCs w:val="36"/>
        </w:rPr>
        <w:lastRenderedPageBreak/>
        <w:t xml:space="preserve">     </w:t>
      </w:r>
      <w:r w:rsidR="00292AF0" w:rsidRPr="00C014A3">
        <w:rPr>
          <w:rFonts w:ascii="Arial" w:hAnsi="Arial" w:cs="Arial"/>
          <w:b/>
          <w:bCs/>
          <w:sz w:val="36"/>
          <w:szCs w:val="36"/>
        </w:rPr>
        <w:t xml:space="preserve">                       </w:t>
      </w:r>
      <w:r w:rsidRPr="00C014A3">
        <w:rPr>
          <w:rFonts w:ascii="Arial" w:hAnsi="Arial" w:cs="Arial"/>
          <w:b/>
          <w:bCs/>
          <w:sz w:val="36"/>
          <w:szCs w:val="36"/>
        </w:rPr>
        <w:t xml:space="preserve"> </w:t>
      </w:r>
      <w:r w:rsidRPr="009779FA">
        <w:rPr>
          <w:rFonts w:ascii="Arial" w:hAnsi="Arial" w:cs="Arial"/>
          <w:b/>
          <w:bCs/>
          <w:sz w:val="36"/>
          <w:szCs w:val="36"/>
          <w:u w:val="single"/>
          <w:lang w:val="en-US"/>
        </w:rPr>
        <w:t xml:space="preserve">10 ans UK </w:t>
      </w:r>
    </w:p>
    <w:p w:rsidR="006E6472" w:rsidRPr="009779FA" w:rsidRDefault="006E6472" w:rsidP="006E6472">
      <w:pPr>
        <w:jc w:val="both"/>
        <w:rPr>
          <w:rFonts w:ascii="Arial" w:hAnsi="Arial" w:cs="Arial"/>
          <w:b/>
          <w:sz w:val="28"/>
          <w:szCs w:val="28"/>
          <w:u w:val="single"/>
          <w:lang w:val="en-US"/>
        </w:rPr>
      </w:pPr>
      <w:r w:rsidRPr="009779FA">
        <w:rPr>
          <w:rFonts w:ascii="Arial" w:hAnsi="Arial" w:cs="Arial"/>
          <w:b/>
          <w:sz w:val="28"/>
          <w:szCs w:val="28"/>
          <w:u w:val="single"/>
          <w:lang w:val="en-US"/>
        </w:rPr>
        <w:t>Monthly</w:t>
      </w:r>
    </w:p>
    <w:p w:rsidR="006E6472" w:rsidRPr="009779FA" w:rsidRDefault="00736D43" w:rsidP="00B65AF1">
      <w:pPr>
        <w:ind w:left="-283"/>
        <w:jc w:val="both"/>
        <w:rPr>
          <w:rFonts w:ascii="Arial" w:hAnsi="Arial" w:cs="Arial"/>
          <w:b/>
          <w:bCs/>
          <w:lang w:val="en-US"/>
        </w:rPr>
      </w:pPr>
      <w:r>
        <w:rPr>
          <w:rFonts w:ascii="Arial" w:hAnsi="Arial" w:cs="Arial"/>
          <w:b/>
          <w:bCs/>
          <w:noProof/>
        </w:rPr>
        <w:drawing>
          <wp:inline distT="0" distB="0" distL="0" distR="0">
            <wp:extent cx="6645467" cy="4216126"/>
            <wp:effectExtent l="0" t="0" r="3175" b="0"/>
            <wp:docPr id="13" name="Image 13" descr="C:\Temp\Bloomberg\temp\bfmE09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E098.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5557" cy="4222528"/>
                    </a:xfrm>
                    <a:prstGeom prst="rect">
                      <a:avLst/>
                    </a:prstGeom>
                    <a:noFill/>
                    <a:ln>
                      <a:noFill/>
                    </a:ln>
                  </pic:spPr>
                </pic:pic>
              </a:graphicData>
            </a:graphic>
          </wp:inline>
        </w:drawing>
      </w:r>
    </w:p>
    <w:p w:rsidR="00D43DAB" w:rsidRPr="009779FA" w:rsidRDefault="00D43DAB" w:rsidP="00D43DAB">
      <w:pPr>
        <w:jc w:val="both"/>
        <w:rPr>
          <w:rFonts w:ascii="Arial" w:hAnsi="Arial" w:cs="Arial"/>
          <w:b/>
          <w:bCs/>
          <w:sz w:val="28"/>
          <w:szCs w:val="28"/>
          <w:u w:val="single"/>
          <w:lang w:val="en-US"/>
        </w:rPr>
      </w:pPr>
      <w:r w:rsidRPr="009779FA">
        <w:rPr>
          <w:rFonts w:ascii="Arial" w:hAnsi="Arial" w:cs="Arial"/>
          <w:b/>
          <w:bCs/>
          <w:sz w:val="28"/>
          <w:szCs w:val="28"/>
          <w:u w:val="single"/>
          <w:lang w:val="en-US"/>
        </w:rPr>
        <w:t>Weekly</w:t>
      </w:r>
    </w:p>
    <w:p w:rsidR="00D43DAB" w:rsidRPr="009779FA" w:rsidRDefault="00736D43" w:rsidP="00B65AF1">
      <w:pPr>
        <w:tabs>
          <w:tab w:val="left" w:pos="4395"/>
        </w:tabs>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5467" cy="4394063"/>
            <wp:effectExtent l="0" t="0" r="3175" b="6985"/>
            <wp:docPr id="14" name="Image 14" descr="C:\Temp\Bloomberg\temp\bfm31D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31D4.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9738" cy="4396887"/>
                    </a:xfrm>
                    <a:prstGeom prst="rect">
                      <a:avLst/>
                    </a:prstGeom>
                    <a:noFill/>
                    <a:ln>
                      <a:noFill/>
                    </a:ln>
                  </pic:spPr>
                </pic:pic>
              </a:graphicData>
            </a:graphic>
          </wp:inline>
        </w:drawing>
      </w:r>
    </w:p>
    <w:p w:rsidR="006E6472" w:rsidRPr="009779FA" w:rsidRDefault="006E6472" w:rsidP="006E6472">
      <w:pPr>
        <w:jc w:val="both"/>
        <w:rPr>
          <w:rFonts w:ascii="Arial" w:hAnsi="Arial" w:cs="Arial"/>
          <w:b/>
          <w:bCs/>
          <w:sz w:val="28"/>
          <w:szCs w:val="28"/>
          <w:u w:val="single"/>
          <w:lang w:val="en-US"/>
        </w:rPr>
      </w:pPr>
      <w:r w:rsidRPr="009779FA">
        <w:rPr>
          <w:rFonts w:ascii="Arial" w:hAnsi="Arial" w:cs="Arial"/>
          <w:b/>
          <w:bCs/>
          <w:sz w:val="28"/>
          <w:szCs w:val="28"/>
          <w:u w:val="single"/>
          <w:lang w:val="en-US"/>
        </w:rPr>
        <w:t xml:space="preserve">Daily </w:t>
      </w:r>
    </w:p>
    <w:p w:rsidR="00332645" w:rsidRPr="009779FA" w:rsidRDefault="00736D43" w:rsidP="00E6336C">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3680" cy="3667486"/>
            <wp:effectExtent l="0" t="0" r="5080" b="9525"/>
            <wp:docPr id="15" name="Image 15" descr="C:\Temp\Bloomberg\temp\bfmCA6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CA6D.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62192" cy="3677705"/>
                    </a:xfrm>
                    <a:prstGeom prst="rect">
                      <a:avLst/>
                    </a:prstGeom>
                    <a:noFill/>
                    <a:ln>
                      <a:noFill/>
                    </a:ln>
                  </pic:spPr>
                </pic:pic>
              </a:graphicData>
            </a:graphic>
          </wp:inline>
        </w:drawing>
      </w:r>
    </w:p>
    <w:p w:rsidR="00332645" w:rsidRDefault="005530C2" w:rsidP="001B1B61">
      <w:pPr>
        <w:jc w:val="both"/>
        <w:rPr>
          <w:rFonts w:ascii="Tahoma" w:hAnsi="Tahoma" w:cs="Tahoma"/>
          <w:bCs/>
        </w:rPr>
      </w:pPr>
      <w:r w:rsidRPr="001B1B61">
        <w:rPr>
          <w:rFonts w:ascii="Arial" w:hAnsi="Arial" w:cs="Arial"/>
          <w:b/>
          <w:bCs/>
        </w:rPr>
        <w:t>M :</w:t>
      </w:r>
      <w:r w:rsidRPr="001B1B61">
        <w:rPr>
          <w:rFonts w:ascii="Tahoma" w:hAnsi="Tahoma" w:cs="Tahoma"/>
          <w:bCs/>
        </w:rPr>
        <w:t xml:space="preserve"> </w:t>
      </w:r>
      <w:r w:rsidR="003B2B32">
        <w:rPr>
          <w:rFonts w:ascii="Tahoma" w:hAnsi="Tahoma" w:cs="Tahoma"/>
          <w:bCs/>
        </w:rPr>
        <w:t xml:space="preserve">L’environnement de long terme est baissier. </w:t>
      </w:r>
      <w:r w:rsidR="00332645">
        <w:rPr>
          <w:rFonts w:ascii="Tahoma" w:hAnsi="Tahoma" w:cs="Tahoma"/>
          <w:bCs/>
        </w:rPr>
        <w:t>Le marché se situe sous la borne basse de son nuage qui représente une résistance sur 1.84.</w:t>
      </w:r>
    </w:p>
    <w:p w:rsidR="00332645" w:rsidRDefault="00332645" w:rsidP="001B1B61">
      <w:pPr>
        <w:jc w:val="both"/>
        <w:rPr>
          <w:rFonts w:ascii="Tahoma" w:hAnsi="Tahoma" w:cs="Tahoma"/>
          <w:bCs/>
        </w:rPr>
      </w:pPr>
      <w:r>
        <w:rPr>
          <w:rFonts w:ascii="Tahoma" w:hAnsi="Tahoma" w:cs="Tahoma"/>
          <w:bCs/>
        </w:rPr>
        <w:t>Sous cette résistance, deux supports sont matérialisés par des plats de TS et de KS respectivement sur 1.32 et 1.09.</w:t>
      </w:r>
    </w:p>
    <w:p w:rsidR="00332645" w:rsidRDefault="00DA05A1" w:rsidP="001B1B61">
      <w:pPr>
        <w:jc w:val="both"/>
        <w:rPr>
          <w:rFonts w:ascii="Tahoma" w:hAnsi="Tahoma" w:cs="Tahoma"/>
          <w:bCs/>
        </w:rPr>
      </w:pPr>
      <w:r>
        <w:rPr>
          <w:rFonts w:ascii="Tahoma" w:hAnsi="Tahoma" w:cs="Tahoma"/>
          <w:bCs/>
        </w:rPr>
        <w:t>L</w:t>
      </w:r>
      <w:r w:rsidR="00332645">
        <w:rPr>
          <w:rFonts w:ascii="Tahoma" w:hAnsi="Tahoma" w:cs="Tahoma"/>
          <w:bCs/>
        </w:rPr>
        <w:t>es plats renforcent les points et limitent les capacités de rupture.</w:t>
      </w:r>
    </w:p>
    <w:p w:rsidR="00332645" w:rsidRDefault="00332645" w:rsidP="001B1B61">
      <w:pPr>
        <w:jc w:val="both"/>
        <w:rPr>
          <w:rFonts w:ascii="Tahoma" w:hAnsi="Tahoma" w:cs="Tahoma"/>
          <w:bCs/>
        </w:rPr>
      </w:pPr>
      <w:r>
        <w:rPr>
          <w:rFonts w:ascii="Tahoma" w:hAnsi="Tahoma" w:cs="Tahoma"/>
          <w:bCs/>
        </w:rPr>
        <w:lastRenderedPageBreak/>
        <w:t xml:space="preserve">Dans ce contexte </w:t>
      </w:r>
      <w:r w:rsidR="004857D5">
        <w:rPr>
          <w:rFonts w:ascii="Tahoma" w:hAnsi="Tahoma" w:cs="Tahoma"/>
          <w:bCs/>
        </w:rPr>
        <w:t>une rupture de 1.32 permettra d’envisager une baisse limitée au support de 1.09. Sans cassure de 1.32 le taux restera attiré par la borne basse du nuage de 1.84.</w:t>
      </w:r>
    </w:p>
    <w:p w:rsidR="00332645" w:rsidRPr="001B1B61" w:rsidRDefault="00332645" w:rsidP="001B1B61">
      <w:pPr>
        <w:jc w:val="both"/>
        <w:rPr>
          <w:rFonts w:ascii="Tahoma" w:hAnsi="Tahoma" w:cs="Tahoma"/>
          <w:bCs/>
        </w:rPr>
      </w:pPr>
    </w:p>
    <w:p w:rsidR="002110BC" w:rsidRDefault="00134724" w:rsidP="00457643">
      <w:pPr>
        <w:jc w:val="both"/>
        <w:rPr>
          <w:rFonts w:ascii="Tahoma" w:hAnsi="Tahoma" w:cs="Tahoma"/>
          <w:bCs/>
        </w:rPr>
      </w:pPr>
      <w:r w:rsidRPr="00F950A8">
        <w:rPr>
          <w:rFonts w:ascii="Arial" w:hAnsi="Arial" w:cs="Arial"/>
          <w:b/>
          <w:bCs/>
        </w:rPr>
        <w:t xml:space="preserve">W : </w:t>
      </w:r>
      <w:r w:rsidR="00BA5214">
        <w:rPr>
          <w:rFonts w:ascii="Tahoma" w:hAnsi="Tahoma" w:cs="Tahoma"/>
          <w:bCs/>
        </w:rPr>
        <w:t xml:space="preserve">De nombreux plats se retrouvent sur </w:t>
      </w:r>
      <w:r w:rsidR="00DA05A1">
        <w:rPr>
          <w:rFonts w:ascii="Tahoma" w:hAnsi="Tahoma" w:cs="Tahoma"/>
          <w:bCs/>
        </w:rPr>
        <w:t>cette unité de temps</w:t>
      </w:r>
      <w:r w:rsidR="00BA5214">
        <w:rPr>
          <w:rFonts w:ascii="Tahoma" w:hAnsi="Tahoma" w:cs="Tahoma"/>
          <w:bCs/>
        </w:rPr>
        <w:t xml:space="preserve">. Ils confirment que le </w:t>
      </w:r>
      <w:r w:rsidR="00883554">
        <w:rPr>
          <w:rFonts w:ascii="Tahoma" w:hAnsi="Tahoma" w:cs="Tahoma"/>
          <w:bCs/>
        </w:rPr>
        <w:t>marché</w:t>
      </w:r>
      <w:r w:rsidR="00BA5214">
        <w:rPr>
          <w:rFonts w:ascii="Tahoma" w:hAnsi="Tahoma" w:cs="Tahoma"/>
          <w:bCs/>
        </w:rPr>
        <w:t xml:space="preserve"> n’est plus en tendance même si la position du taux et de la LS place cet horizon de temps dans un environnement haussier.</w:t>
      </w:r>
    </w:p>
    <w:p w:rsidR="0017255A" w:rsidRDefault="0017255A" w:rsidP="00457643">
      <w:pPr>
        <w:jc w:val="both"/>
        <w:rPr>
          <w:rFonts w:ascii="Tahoma" w:hAnsi="Tahoma" w:cs="Tahoma"/>
          <w:bCs/>
        </w:rPr>
      </w:pPr>
      <w:r>
        <w:rPr>
          <w:rFonts w:ascii="Tahoma" w:hAnsi="Tahoma" w:cs="Tahoma"/>
          <w:bCs/>
        </w:rPr>
        <w:t>L</w:t>
      </w:r>
      <w:r w:rsidR="00DA05A1">
        <w:rPr>
          <w:rFonts w:ascii="Tahoma" w:hAnsi="Tahoma" w:cs="Tahoma"/>
          <w:bCs/>
        </w:rPr>
        <w:t>e plat de</w:t>
      </w:r>
      <w:r>
        <w:rPr>
          <w:rFonts w:ascii="Tahoma" w:hAnsi="Tahoma" w:cs="Tahoma"/>
          <w:bCs/>
        </w:rPr>
        <w:t xml:space="preserve"> KS </w:t>
      </w:r>
      <w:r w:rsidR="00DA05A1">
        <w:rPr>
          <w:rFonts w:ascii="Tahoma" w:hAnsi="Tahoma" w:cs="Tahoma"/>
          <w:bCs/>
        </w:rPr>
        <w:t>de</w:t>
      </w:r>
      <w:r>
        <w:rPr>
          <w:rFonts w:ascii="Tahoma" w:hAnsi="Tahoma" w:cs="Tahoma"/>
          <w:bCs/>
        </w:rPr>
        <w:t xml:space="preserve"> 1.42 va servir de pivot et de zone d’attraction.</w:t>
      </w:r>
    </w:p>
    <w:p w:rsidR="0017255A" w:rsidRDefault="0017255A" w:rsidP="00457643">
      <w:pPr>
        <w:jc w:val="both"/>
        <w:rPr>
          <w:rFonts w:ascii="Tahoma" w:hAnsi="Tahoma" w:cs="Tahoma"/>
          <w:bCs/>
        </w:rPr>
      </w:pPr>
      <w:r>
        <w:rPr>
          <w:rFonts w:ascii="Tahoma" w:hAnsi="Tahoma" w:cs="Tahoma"/>
          <w:bCs/>
        </w:rPr>
        <w:t>Le triangle descendant place le 10 ans UK dans une consolidation. Le support horizontal de 1.33 renforce le plat de TS du long terme</w:t>
      </w:r>
      <w:r w:rsidR="00DA05A1">
        <w:rPr>
          <w:rFonts w:ascii="Tahoma" w:hAnsi="Tahoma" w:cs="Tahoma"/>
          <w:bCs/>
        </w:rPr>
        <w:t xml:space="preserve"> sur 1.32</w:t>
      </w:r>
      <w:r>
        <w:rPr>
          <w:rFonts w:ascii="Tahoma" w:hAnsi="Tahoma" w:cs="Tahoma"/>
          <w:bCs/>
        </w:rPr>
        <w:t xml:space="preserve">. En cassure, le taux se dirigera sur son nuage dont </w:t>
      </w:r>
      <w:r w:rsidR="00DA05A1">
        <w:rPr>
          <w:rFonts w:ascii="Tahoma" w:hAnsi="Tahoma" w:cs="Tahoma"/>
          <w:bCs/>
        </w:rPr>
        <w:t>la SSB</w:t>
      </w:r>
      <w:r>
        <w:rPr>
          <w:rFonts w:ascii="Tahoma" w:hAnsi="Tahoma" w:cs="Tahoma"/>
          <w:bCs/>
        </w:rPr>
        <w:t xml:space="preserve"> se situe sur 1.22.</w:t>
      </w:r>
    </w:p>
    <w:p w:rsidR="00592CE7" w:rsidRPr="00E6336C" w:rsidRDefault="004657DD" w:rsidP="00134724">
      <w:pPr>
        <w:jc w:val="both"/>
        <w:rPr>
          <w:rFonts w:ascii="Tahoma" w:hAnsi="Tahoma" w:cs="Tahoma"/>
          <w:bCs/>
        </w:rPr>
      </w:pPr>
      <w:r>
        <w:rPr>
          <w:rFonts w:ascii="Tahoma" w:hAnsi="Tahoma" w:cs="Tahoma"/>
          <w:bCs/>
        </w:rPr>
        <w:t xml:space="preserve"> </w:t>
      </w:r>
    </w:p>
    <w:p w:rsidR="0077185D" w:rsidRDefault="00134724" w:rsidP="00457643">
      <w:pPr>
        <w:jc w:val="both"/>
        <w:rPr>
          <w:rFonts w:ascii="Tahoma" w:hAnsi="Tahoma" w:cs="Tahoma"/>
          <w:bCs/>
        </w:rPr>
      </w:pPr>
      <w:r w:rsidRPr="00F950A8">
        <w:rPr>
          <w:rFonts w:ascii="Arial" w:hAnsi="Arial" w:cs="Arial"/>
          <w:b/>
          <w:bCs/>
        </w:rPr>
        <w:t xml:space="preserve">D : </w:t>
      </w:r>
      <w:r w:rsidR="0077185D">
        <w:rPr>
          <w:rFonts w:ascii="Tahoma" w:hAnsi="Tahoma" w:cs="Tahoma"/>
          <w:bCs/>
        </w:rPr>
        <w:t>Entre 1.55 et 1.32, la dérive latérale sera avantagée. Ce scénario est soutenu par les nombreux croisement du nuage.</w:t>
      </w:r>
    </w:p>
    <w:p w:rsidR="0077185D" w:rsidRDefault="0077185D" w:rsidP="00457643">
      <w:pPr>
        <w:jc w:val="both"/>
        <w:rPr>
          <w:rFonts w:ascii="Tahoma" w:hAnsi="Tahoma" w:cs="Tahoma"/>
          <w:bCs/>
        </w:rPr>
      </w:pPr>
      <w:r>
        <w:rPr>
          <w:rFonts w:ascii="Tahoma" w:hAnsi="Tahoma" w:cs="Tahoma"/>
          <w:bCs/>
        </w:rPr>
        <w:t>La zone médiane reprend des plats de KS et de SSB sur 1.45.</w:t>
      </w:r>
    </w:p>
    <w:p w:rsidR="00FF1FC8" w:rsidRPr="00F950A8" w:rsidRDefault="0077185D" w:rsidP="00457643">
      <w:pPr>
        <w:jc w:val="both"/>
        <w:rPr>
          <w:rFonts w:ascii="Tahoma" w:hAnsi="Tahoma" w:cs="Tahoma"/>
          <w:bCs/>
        </w:rPr>
      </w:pPr>
      <w:r>
        <w:rPr>
          <w:rFonts w:ascii="Tahoma" w:hAnsi="Tahoma" w:cs="Tahoma"/>
          <w:bCs/>
        </w:rPr>
        <w:t>Des dépassements sont possibles mais ils ne seront validés qu’</w:t>
      </w:r>
      <w:r w:rsidR="00691E63">
        <w:rPr>
          <w:rFonts w:ascii="Tahoma" w:hAnsi="Tahoma" w:cs="Tahoma"/>
          <w:bCs/>
        </w:rPr>
        <w:t xml:space="preserve">en </w:t>
      </w:r>
      <w:r w:rsidR="00404264">
        <w:rPr>
          <w:rFonts w:ascii="Tahoma" w:hAnsi="Tahoma" w:cs="Tahoma"/>
          <w:bCs/>
        </w:rPr>
        <w:t>clôture</w:t>
      </w:r>
      <w:r>
        <w:rPr>
          <w:rFonts w:ascii="Tahoma" w:hAnsi="Tahoma" w:cs="Tahoma"/>
          <w:bCs/>
        </w:rPr>
        <w:t>.</w:t>
      </w:r>
      <w:r w:rsidR="00AC2628">
        <w:rPr>
          <w:rFonts w:ascii="Tahoma" w:hAnsi="Tahoma" w:cs="Tahoma"/>
          <w:bCs/>
        </w:rPr>
        <w:t xml:space="preserve"> </w:t>
      </w:r>
    </w:p>
    <w:p w:rsidR="009435E0" w:rsidRPr="00C955D5" w:rsidRDefault="009435E0" w:rsidP="005530C2">
      <w:pPr>
        <w:jc w:val="both"/>
        <w:rPr>
          <w:rFonts w:ascii="Arial" w:hAnsi="Arial" w:cs="Arial"/>
          <w:color w:val="FF0000"/>
        </w:rPr>
      </w:pPr>
    </w:p>
    <w:p w:rsidR="007A5656" w:rsidRDefault="005530C2" w:rsidP="00BE257A">
      <w:pPr>
        <w:jc w:val="both"/>
        <w:rPr>
          <w:rFonts w:ascii="Arial" w:hAnsi="Arial" w:cs="Arial"/>
          <w:b/>
          <w:color w:val="00B050"/>
        </w:rPr>
      </w:pPr>
      <w:r w:rsidRPr="004A2C42">
        <w:rPr>
          <w:rFonts w:ascii="Arial" w:hAnsi="Arial" w:cs="Arial"/>
          <w:b/>
          <w:color w:val="00B050"/>
          <w:u w:val="single"/>
        </w:rPr>
        <w:t>HEBDOMADAIRE</w:t>
      </w:r>
      <w:r w:rsidRPr="004A2C42">
        <w:rPr>
          <w:rFonts w:ascii="Arial" w:hAnsi="Arial" w:cs="Arial"/>
          <w:b/>
          <w:color w:val="00B050"/>
        </w:rPr>
        <w:t xml:space="preserve"> : </w:t>
      </w:r>
      <w:r w:rsidR="00B82610">
        <w:rPr>
          <w:rFonts w:ascii="Arial" w:hAnsi="Arial" w:cs="Arial"/>
          <w:b/>
          <w:color w:val="00B050"/>
        </w:rPr>
        <w:t xml:space="preserve">Entre 1.55 et 1.32 le marché consolide. Une sortie devra être validée par une </w:t>
      </w:r>
      <w:r w:rsidR="00404264">
        <w:rPr>
          <w:rFonts w:ascii="Arial" w:hAnsi="Arial" w:cs="Arial"/>
          <w:b/>
          <w:color w:val="00B050"/>
        </w:rPr>
        <w:t>clôture</w:t>
      </w:r>
      <w:r w:rsidR="00B82610">
        <w:rPr>
          <w:rFonts w:ascii="Arial" w:hAnsi="Arial" w:cs="Arial"/>
          <w:b/>
          <w:color w:val="00B050"/>
        </w:rPr>
        <w:t xml:space="preserve">. La zone de 1.42/1.45 servira de zone </w:t>
      </w:r>
      <w:r w:rsidR="00623878">
        <w:rPr>
          <w:rFonts w:ascii="Arial" w:hAnsi="Arial" w:cs="Arial"/>
          <w:b/>
          <w:color w:val="00B050"/>
        </w:rPr>
        <w:t>médiane entre ces deux points.</w:t>
      </w:r>
    </w:p>
    <w:p w:rsidR="00623878" w:rsidRDefault="00623878" w:rsidP="00BE257A">
      <w:pPr>
        <w:jc w:val="both"/>
        <w:rPr>
          <w:rFonts w:ascii="Arial" w:hAnsi="Arial" w:cs="Arial"/>
          <w:b/>
          <w:color w:val="00B050"/>
        </w:rPr>
      </w:pPr>
      <w:r>
        <w:rPr>
          <w:rFonts w:ascii="Arial" w:hAnsi="Arial" w:cs="Arial"/>
          <w:b/>
          <w:color w:val="00B050"/>
        </w:rPr>
        <w:t>Une cassure de 1.32 se traduira par une baisse sur 1.09 avec 1.22 en support intermédiaire</w:t>
      </w:r>
      <w:r w:rsidR="00CD2141">
        <w:rPr>
          <w:rFonts w:ascii="Arial" w:hAnsi="Arial" w:cs="Arial"/>
          <w:b/>
          <w:color w:val="00B050"/>
        </w:rPr>
        <w:t>.</w:t>
      </w:r>
    </w:p>
    <w:p w:rsidR="007A5656" w:rsidRDefault="007A5656" w:rsidP="00BE257A">
      <w:pPr>
        <w:jc w:val="both"/>
        <w:rPr>
          <w:rFonts w:ascii="Arial" w:hAnsi="Arial" w:cs="Arial"/>
          <w:b/>
          <w:color w:val="00B050"/>
        </w:rPr>
      </w:pPr>
    </w:p>
    <w:p w:rsidR="00C240BD" w:rsidRPr="00E6336C" w:rsidRDefault="00E6336C" w:rsidP="00BE257A">
      <w:pPr>
        <w:jc w:val="both"/>
        <w:rPr>
          <w:rFonts w:ascii="Arial" w:hAnsi="Arial" w:cs="Arial"/>
          <w:b/>
          <w:u w:val="single"/>
        </w:rPr>
      </w:pPr>
      <w:r>
        <w:rPr>
          <w:rFonts w:ascii="Arial" w:hAnsi="Arial" w:cs="Arial"/>
          <w:b/>
          <w:u w:val="single"/>
        </w:rPr>
        <w:t xml:space="preserve">MENSUEL : </w:t>
      </w:r>
      <w:r w:rsidR="00C240BD" w:rsidRPr="00C240BD">
        <w:rPr>
          <w:rFonts w:ascii="Arial" w:hAnsi="Arial" w:cs="Arial"/>
          <w:b/>
          <w:u w:val="single"/>
        </w:rPr>
        <w:t>La hausse du taux qui a débuté en 2016 fait une pause depuis le début de l’année 2018. L’absence de dynamique de mouvement limite le potentiel de déplacement du taux aux supports ou aux résistances. Un dépassement de 1.55 devra être suivi par la cassure de 1.69 pour envisager la reprise de la hausse. Un maintien du marché au-dessus de 0.92/0.95 permettra de continuer d’avantager le biais haussier.</w:t>
      </w:r>
      <w:bookmarkStart w:id="2" w:name="_GoBack"/>
      <w:bookmarkEnd w:id="2"/>
    </w:p>
    <w:bookmarkEnd w:id="0"/>
    <w:sectPr w:rsidR="00C240BD" w:rsidRPr="00E6336C" w:rsidSect="00B65AF1">
      <w:headerReference w:type="even" r:id="rId18"/>
      <w:headerReference w:type="default" r:id="rId19"/>
      <w:footerReference w:type="even" r:id="rId20"/>
      <w:footerReference w:type="default" r:id="rId21"/>
      <w:headerReference w:type="first" r:id="rId22"/>
      <w:footerReference w:type="first" r:id="rId23"/>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363" w:rsidRDefault="00112363" w:rsidP="00632EAA">
      <w:r>
        <w:separator/>
      </w:r>
    </w:p>
  </w:endnote>
  <w:endnote w:type="continuationSeparator" w:id="0">
    <w:p w:rsidR="00112363" w:rsidRDefault="00112363"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1CE" w:rsidRDefault="002B51C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4263021"/>
      <w:docPartObj>
        <w:docPartGallery w:val="Page Numbers (Bottom of Page)"/>
        <w:docPartUnique/>
      </w:docPartObj>
    </w:sdtPr>
    <w:sdtEndPr/>
    <w:sdtContent>
      <w:p w:rsidR="006A74DA" w:rsidRDefault="006A74DA">
        <w:pPr>
          <w:pStyle w:val="Pieddepage"/>
          <w:jc w:val="right"/>
        </w:pPr>
        <w:r>
          <w:fldChar w:fldCharType="begin"/>
        </w:r>
        <w:r>
          <w:instrText>PAGE   \* MERGEFORMAT</w:instrText>
        </w:r>
        <w:r>
          <w:fldChar w:fldCharType="separate"/>
        </w:r>
        <w:r w:rsidR="002B51CE">
          <w:rPr>
            <w:noProof/>
          </w:rPr>
          <w:t>10</w:t>
        </w:r>
        <w:r>
          <w:fldChar w:fldCharType="end"/>
        </w:r>
      </w:p>
    </w:sdtContent>
  </w:sdt>
  <w:p w:rsidR="00112363" w:rsidRDefault="002B51CE">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6" name="MSIPCM3b92486f97b385cb6af12a89"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2B51CE" w:rsidRPr="002B51CE" w:rsidRDefault="002B51CE" w:rsidP="002B51CE">
                          <w:pPr>
                            <w:rPr>
                              <w:rFonts w:ascii="Calibri" w:hAnsi="Calibri" w:cs="Calibri"/>
                              <w:color w:val="737373"/>
                              <w:sz w:val="16"/>
                            </w:rPr>
                          </w:pPr>
                          <w:r w:rsidRPr="002B51CE">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3b92486f97b385cb6af12a89"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" o:allowincell="f" filled="f" stroked="f" strokeweight=".5pt">
              <v:fill o:detectmouseclick="t"/>
              <v:textbox inset="20pt,0,,0">
                <w:txbxContent>
                  <w:p w:rsidR="002B51CE" w:rsidRPr="002B51CE" w:rsidRDefault="002B51CE" w:rsidP="002B51CE">
                    <w:pPr>
                      <w:rPr>
                        <w:rFonts w:ascii="Calibri" w:hAnsi="Calibri" w:cs="Calibri"/>
                        <w:color w:val="737373"/>
                        <w:sz w:val="16"/>
                      </w:rPr>
                    </w:pPr>
                    <w:r w:rsidRPr="002B51CE">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1CE" w:rsidRDefault="002B51C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363" w:rsidRDefault="00112363" w:rsidP="00632EAA">
      <w:r>
        <w:separator/>
      </w:r>
    </w:p>
  </w:footnote>
  <w:footnote w:type="continuationSeparator" w:id="0">
    <w:p w:rsidR="00112363" w:rsidRDefault="00112363"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1CE" w:rsidRDefault="002B51C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1CE" w:rsidRDefault="002B51C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1CE" w:rsidRDefault="002B51C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043C9"/>
    <w:rsid w:val="00006573"/>
    <w:rsid w:val="00015DE9"/>
    <w:rsid w:val="00024342"/>
    <w:rsid w:val="00031AE3"/>
    <w:rsid w:val="00031D2A"/>
    <w:rsid w:val="000403B1"/>
    <w:rsid w:val="00040784"/>
    <w:rsid w:val="00040AE9"/>
    <w:rsid w:val="000412FF"/>
    <w:rsid w:val="00041F25"/>
    <w:rsid w:val="0005450A"/>
    <w:rsid w:val="0006167C"/>
    <w:rsid w:val="00063DD8"/>
    <w:rsid w:val="000641C0"/>
    <w:rsid w:val="000679AC"/>
    <w:rsid w:val="00077732"/>
    <w:rsid w:val="00082509"/>
    <w:rsid w:val="000874DF"/>
    <w:rsid w:val="00090B79"/>
    <w:rsid w:val="00093D02"/>
    <w:rsid w:val="0009578D"/>
    <w:rsid w:val="0009601D"/>
    <w:rsid w:val="000A3D69"/>
    <w:rsid w:val="000A4A04"/>
    <w:rsid w:val="000B156B"/>
    <w:rsid w:val="000C5BCC"/>
    <w:rsid w:val="000C702C"/>
    <w:rsid w:val="000D17A4"/>
    <w:rsid w:val="000D21A7"/>
    <w:rsid w:val="000D268A"/>
    <w:rsid w:val="000D4E0C"/>
    <w:rsid w:val="000D6642"/>
    <w:rsid w:val="000D72F9"/>
    <w:rsid w:val="000D7ED2"/>
    <w:rsid w:val="000E4AFF"/>
    <w:rsid w:val="000E52E1"/>
    <w:rsid w:val="000E620B"/>
    <w:rsid w:val="000E65BF"/>
    <w:rsid w:val="000F109D"/>
    <w:rsid w:val="000F7250"/>
    <w:rsid w:val="00100473"/>
    <w:rsid w:val="00101F48"/>
    <w:rsid w:val="00104E12"/>
    <w:rsid w:val="0010583E"/>
    <w:rsid w:val="00112363"/>
    <w:rsid w:val="001155DC"/>
    <w:rsid w:val="00124CE0"/>
    <w:rsid w:val="0012530F"/>
    <w:rsid w:val="001259C9"/>
    <w:rsid w:val="00134724"/>
    <w:rsid w:val="00141BFC"/>
    <w:rsid w:val="001420E9"/>
    <w:rsid w:val="00145281"/>
    <w:rsid w:val="00151611"/>
    <w:rsid w:val="00151A43"/>
    <w:rsid w:val="00152726"/>
    <w:rsid w:val="001562F5"/>
    <w:rsid w:val="0017044D"/>
    <w:rsid w:val="0017255A"/>
    <w:rsid w:val="00174112"/>
    <w:rsid w:val="00174D90"/>
    <w:rsid w:val="001758CA"/>
    <w:rsid w:val="00175D7D"/>
    <w:rsid w:val="001802ED"/>
    <w:rsid w:val="00181C36"/>
    <w:rsid w:val="001929A4"/>
    <w:rsid w:val="0019448F"/>
    <w:rsid w:val="0019471F"/>
    <w:rsid w:val="00194BF8"/>
    <w:rsid w:val="001A7163"/>
    <w:rsid w:val="001B1120"/>
    <w:rsid w:val="001B1B61"/>
    <w:rsid w:val="001B313E"/>
    <w:rsid w:val="001C0911"/>
    <w:rsid w:val="001C0A29"/>
    <w:rsid w:val="001C1C7A"/>
    <w:rsid w:val="001C6728"/>
    <w:rsid w:val="001D21C0"/>
    <w:rsid w:val="001D2CFB"/>
    <w:rsid w:val="001E4E26"/>
    <w:rsid w:val="001E7AFE"/>
    <w:rsid w:val="001E7C78"/>
    <w:rsid w:val="001F0E5F"/>
    <w:rsid w:val="001F4F7F"/>
    <w:rsid w:val="002000EA"/>
    <w:rsid w:val="00203583"/>
    <w:rsid w:val="00206C2A"/>
    <w:rsid w:val="002078BB"/>
    <w:rsid w:val="002110BC"/>
    <w:rsid w:val="0021328A"/>
    <w:rsid w:val="00222827"/>
    <w:rsid w:val="002308C6"/>
    <w:rsid w:val="00230B15"/>
    <w:rsid w:val="00233557"/>
    <w:rsid w:val="00235DEB"/>
    <w:rsid w:val="0023751E"/>
    <w:rsid w:val="002506D7"/>
    <w:rsid w:val="002525D8"/>
    <w:rsid w:val="0025315D"/>
    <w:rsid w:val="00254989"/>
    <w:rsid w:val="00256885"/>
    <w:rsid w:val="00260D05"/>
    <w:rsid w:val="002637F2"/>
    <w:rsid w:val="00264CE5"/>
    <w:rsid w:val="00264ECA"/>
    <w:rsid w:val="00273EF1"/>
    <w:rsid w:val="00274AD5"/>
    <w:rsid w:val="00276D92"/>
    <w:rsid w:val="0027748F"/>
    <w:rsid w:val="00281F6C"/>
    <w:rsid w:val="00292AF0"/>
    <w:rsid w:val="002A322F"/>
    <w:rsid w:val="002A3CA4"/>
    <w:rsid w:val="002A46CF"/>
    <w:rsid w:val="002A634E"/>
    <w:rsid w:val="002A63D2"/>
    <w:rsid w:val="002B0A38"/>
    <w:rsid w:val="002B4084"/>
    <w:rsid w:val="002B51CE"/>
    <w:rsid w:val="002C101E"/>
    <w:rsid w:val="002C2834"/>
    <w:rsid w:val="002C2DC2"/>
    <w:rsid w:val="002C5FAC"/>
    <w:rsid w:val="002D3EC9"/>
    <w:rsid w:val="002E337C"/>
    <w:rsid w:val="002E34FF"/>
    <w:rsid w:val="002E3C88"/>
    <w:rsid w:val="002E5E89"/>
    <w:rsid w:val="002E71C2"/>
    <w:rsid w:val="002E7D66"/>
    <w:rsid w:val="002F0C21"/>
    <w:rsid w:val="002F3091"/>
    <w:rsid w:val="002F4402"/>
    <w:rsid w:val="002F6B57"/>
    <w:rsid w:val="00304D6E"/>
    <w:rsid w:val="0031071E"/>
    <w:rsid w:val="00314C8B"/>
    <w:rsid w:val="003166BC"/>
    <w:rsid w:val="00317596"/>
    <w:rsid w:val="003228D3"/>
    <w:rsid w:val="003233B1"/>
    <w:rsid w:val="003261EE"/>
    <w:rsid w:val="00326A93"/>
    <w:rsid w:val="00330C78"/>
    <w:rsid w:val="00332645"/>
    <w:rsid w:val="00337BE0"/>
    <w:rsid w:val="003411EA"/>
    <w:rsid w:val="0034135F"/>
    <w:rsid w:val="00343C28"/>
    <w:rsid w:val="00347D77"/>
    <w:rsid w:val="00352A1E"/>
    <w:rsid w:val="00353AD0"/>
    <w:rsid w:val="00354C96"/>
    <w:rsid w:val="003556EB"/>
    <w:rsid w:val="00360110"/>
    <w:rsid w:val="00365809"/>
    <w:rsid w:val="00366961"/>
    <w:rsid w:val="00367239"/>
    <w:rsid w:val="00367599"/>
    <w:rsid w:val="003702C4"/>
    <w:rsid w:val="00373142"/>
    <w:rsid w:val="003750B6"/>
    <w:rsid w:val="00377440"/>
    <w:rsid w:val="0038119F"/>
    <w:rsid w:val="00383BAC"/>
    <w:rsid w:val="00385F69"/>
    <w:rsid w:val="003948B3"/>
    <w:rsid w:val="00394A95"/>
    <w:rsid w:val="003952D7"/>
    <w:rsid w:val="00397BA3"/>
    <w:rsid w:val="003A1222"/>
    <w:rsid w:val="003B2B32"/>
    <w:rsid w:val="003B2CFF"/>
    <w:rsid w:val="003B63F5"/>
    <w:rsid w:val="003B75F0"/>
    <w:rsid w:val="003B7952"/>
    <w:rsid w:val="003C03CD"/>
    <w:rsid w:val="003C27DA"/>
    <w:rsid w:val="003E1B3F"/>
    <w:rsid w:val="003E5A71"/>
    <w:rsid w:val="003E749D"/>
    <w:rsid w:val="003F4023"/>
    <w:rsid w:val="003F6F10"/>
    <w:rsid w:val="00401AE1"/>
    <w:rsid w:val="00401C1D"/>
    <w:rsid w:val="00401CC8"/>
    <w:rsid w:val="00401F6A"/>
    <w:rsid w:val="00402633"/>
    <w:rsid w:val="00403835"/>
    <w:rsid w:val="00404264"/>
    <w:rsid w:val="004069F1"/>
    <w:rsid w:val="00407002"/>
    <w:rsid w:val="004110E2"/>
    <w:rsid w:val="00415641"/>
    <w:rsid w:val="00416B48"/>
    <w:rsid w:val="00416F1A"/>
    <w:rsid w:val="0043099C"/>
    <w:rsid w:val="0043164A"/>
    <w:rsid w:val="00432974"/>
    <w:rsid w:val="00440575"/>
    <w:rsid w:val="004411EA"/>
    <w:rsid w:val="00451C8C"/>
    <w:rsid w:val="00457643"/>
    <w:rsid w:val="004657DD"/>
    <w:rsid w:val="00467E82"/>
    <w:rsid w:val="00470E75"/>
    <w:rsid w:val="00476700"/>
    <w:rsid w:val="004801A4"/>
    <w:rsid w:val="00480883"/>
    <w:rsid w:val="004857D5"/>
    <w:rsid w:val="004873C5"/>
    <w:rsid w:val="00490C20"/>
    <w:rsid w:val="004A2C42"/>
    <w:rsid w:val="004A4C46"/>
    <w:rsid w:val="004A5B07"/>
    <w:rsid w:val="004A7BFF"/>
    <w:rsid w:val="004B145B"/>
    <w:rsid w:val="004C0997"/>
    <w:rsid w:val="004C107D"/>
    <w:rsid w:val="004C1D94"/>
    <w:rsid w:val="004C57CF"/>
    <w:rsid w:val="004C7595"/>
    <w:rsid w:val="004D02B8"/>
    <w:rsid w:val="004D3429"/>
    <w:rsid w:val="004E02D3"/>
    <w:rsid w:val="004E2FE7"/>
    <w:rsid w:val="004F35A1"/>
    <w:rsid w:val="004F3E17"/>
    <w:rsid w:val="004F49FB"/>
    <w:rsid w:val="004F7DDC"/>
    <w:rsid w:val="00500A6D"/>
    <w:rsid w:val="0050573E"/>
    <w:rsid w:val="00514C7E"/>
    <w:rsid w:val="005224FA"/>
    <w:rsid w:val="0052288F"/>
    <w:rsid w:val="0054005C"/>
    <w:rsid w:val="00542FB4"/>
    <w:rsid w:val="0054379C"/>
    <w:rsid w:val="00545E40"/>
    <w:rsid w:val="005530C2"/>
    <w:rsid w:val="005600F6"/>
    <w:rsid w:val="005622FD"/>
    <w:rsid w:val="0056419E"/>
    <w:rsid w:val="005770A5"/>
    <w:rsid w:val="0059070C"/>
    <w:rsid w:val="00592CE7"/>
    <w:rsid w:val="0059618B"/>
    <w:rsid w:val="005A5601"/>
    <w:rsid w:val="005A7A3E"/>
    <w:rsid w:val="005B781D"/>
    <w:rsid w:val="005C3180"/>
    <w:rsid w:val="005C5E67"/>
    <w:rsid w:val="005D451E"/>
    <w:rsid w:val="005D7228"/>
    <w:rsid w:val="005E3841"/>
    <w:rsid w:val="005E4948"/>
    <w:rsid w:val="005F7340"/>
    <w:rsid w:val="0060114F"/>
    <w:rsid w:val="0060274E"/>
    <w:rsid w:val="006048FD"/>
    <w:rsid w:val="00620D34"/>
    <w:rsid w:val="00623878"/>
    <w:rsid w:val="0062397C"/>
    <w:rsid w:val="00626AF6"/>
    <w:rsid w:val="00632EAA"/>
    <w:rsid w:val="0063445B"/>
    <w:rsid w:val="006374F9"/>
    <w:rsid w:val="006420ED"/>
    <w:rsid w:val="00643293"/>
    <w:rsid w:val="00645868"/>
    <w:rsid w:val="00650C73"/>
    <w:rsid w:val="0066004C"/>
    <w:rsid w:val="006641B7"/>
    <w:rsid w:val="00670CF7"/>
    <w:rsid w:val="00676870"/>
    <w:rsid w:val="00682009"/>
    <w:rsid w:val="006871A5"/>
    <w:rsid w:val="00690736"/>
    <w:rsid w:val="0069101B"/>
    <w:rsid w:val="00691E63"/>
    <w:rsid w:val="00694328"/>
    <w:rsid w:val="006A0DD9"/>
    <w:rsid w:val="006A1753"/>
    <w:rsid w:val="006A43AF"/>
    <w:rsid w:val="006A74DA"/>
    <w:rsid w:val="006B35CA"/>
    <w:rsid w:val="006B4A73"/>
    <w:rsid w:val="006C0FF6"/>
    <w:rsid w:val="006C10F5"/>
    <w:rsid w:val="006C59E0"/>
    <w:rsid w:val="006C634F"/>
    <w:rsid w:val="006D6C35"/>
    <w:rsid w:val="006D7DCD"/>
    <w:rsid w:val="006E0AD0"/>
    <w:rsid w:val="006E1A3A"/>
    <w:rsid w:val="006E6472"/>
    <w:rsid w:val="006F6A52"/>
    <w:rsid w:val="006F7044"/>
    <w:rsid w:val="00702A9F"/>
    <w:rsid w:val="007046BB"/>
    <w:rsid w:val="00704A64"/>
    <w:rsid w:val="007236FA"/>
    <w:rsid w:val="00725CFC"/>
    <w:rsid w:val="00726F34"/>
    <w:rsid w:val="00727A2F"/>
    <w:rsid w:val="00732E1A"/>
    <w:rsid w:val="007357F8"/>
    <w:rsid w:val="0073620D"/>
    <w:rsid w:val="00736D43"/>
    <w:rsid w:val="007400C0"/>
    <w:rsid w:val="00746A4F"/>
    <w:rsid w:val="00754F13"/>
    <w:rsid w:val="00762F69"/>
    <w:rsid w:val="007658F2"/>
    <w:rsid w:val="0077185D"/>
    <w:rsid w:val="00775E44"/>
    <w:rsid w:val="00776C3E"/>
    <w:rsid w:val="007801B9"/>
    <w:rsid w:val="00781543"/>
    <w:rsid w:val="007A54EF"/>
    <w:rsid w:val="007A5656"/>
    <w:rsid w:val="007B31F5"/>
    <w:rsid w:val="007B6865"/>
    <w:rsid w:val="007C14A5"/>
    <w:rsid w:val="007D3A98"/>
    <w:rsid w:val="007D4DA3"/>
    <w:rsid w:val="007D538A"/>
    <w:rsid w:val="007E0829"/>
    <w:rsid w:val="007E3F85"/>
    <w:rsid w:val="007E4A2B"/>
    <w:rsid w:val="007F5372"/>
    <w:rsid w:val="00805F6D"/>
    <w:rsid w:val="00810D8C"/>
    <w:rsid w:val="00811CF5"/>
    <w:rsid w:val="0081223A"/>
    <w:rsid w:val="0081521A"/>
    <w:rsid w:val="00817780"/>
    <w:rsid w:val="008213B0"/>
    <w:rsid w:val="00821443"/>
    <w:rsid w:val="008251B9"/>
    <w:rsid w:val="008269BA"/>
    <w:rsid w:val="00831471"/>
    <w:rsid w:val="00841983"/>
    <w:rsid w:val="00841EF7"/>
    <w:rsid w:val="008431B4"/>
    <w:rsid w:val="00843BA0"/>
    <w:rsid w:val="008451F2"/>
    <w:rsid w:val="0085485A"/>
    <w:rsid w:val="00855054"/>
    <w:rsid w:val="00860835"/>
    <w:rsid w:val="00862246"/>
    <w:rsid w:val="008631EB"/>
    <w:rsid w:val="00871790"/>
    <w:rsid w:val="00875D08"/>
    <w:rsid w:val="008761B9"/>
    <w:rsid w:val="008769DF"/>
    <w:rsid w:val="00883554"/>
    <w:rsid w:val="00883760"/>
    <w:rsid w:val="00892275"/>
    <w:rsid w:val="00893DED"/>
    <w:rsid w:val="00894BE9"/>
    <w:rsid w:val="008A14C3"/>
    <w:rsid w:val="008A2B2F"/>
    <w:rsid w:val="008A4E31"/>
    <w:rsid w:val="008C46FE"/>
    <w:rsid w:val="008C6E2B"/>
    <w:rsid w:val="008D0E1C"/>
    <w:rsid w:val="008D490D"/>
    <w:rsid w:val="008E220D"/>
    <w:rsid w:val="008F1539"/>
    <w:rsid w:val="008F40E5"/>
    <w:rsid w:val="00900B05"/>
    <w:rsid w:val="009049D6"/>
    <w:rsid w:val="009079FA"/>
    <w:rsid w:val="00911680"/>
    <w:rsid w:val="00912E53"/>
    <w:rsid w:val="009141EC"/>
    <w:rsid w:val="00917964"/>
    <w:rsid w:val="0092725C"/>
    <w:rsid w:val="00932B93"/>
    <w:rsid w:val="009341A8"/>
    <w:rsid w:val="00934473"/>
    <w:rsid w:val="00935C01"/>
    <w:rsid w:val="009372C2"/>
    <w:rsid w:val="0093766C"/>
    <w:rsid w:val="009435E0"/>
    <w:rsid w:val="00947D9D"/>
    <w:rsid w:val="0095687C"/>
    <w:rsid w:val="00957245"/>
    <w:rsid w:val="0096003D"/>
    <w:rsid w:val="009601F4"/>
    <w:rsid w:val="00970A24"/>
    <w:rsid w:val="0097505A"/>
    <w:rsid w:val="009751B4"/>
    <w:rsid w:val="009779FA"/>
    <w:rsid w:val="009925DF"/>
    <w:rsid w:val="00992B49"/>
    <w:rsid w:val="00996367"/>
    <w:rsid w:val="009B0E08"/>
    <w:rsid w:val="009B4D2D"/>
    <w:rsid w:val="009B7D86"/>
    <w:rsid w:val="009C2A7C"/>
    <w:rsid w:val="009C45D1"/>
    <w:rsid w:val="009C73A1"/>
    <w:rsid w:val="009D01D8"/>
    <w:rsid w:val="009D6F55"/>
    <w:rsid w:val="009E22DE"/>
    <w:rsid w:val="009F1AF9"/>
    <w:rsid w:val="009F62C1"/>
    <w:rsid w:val="009F7FD0"/>
    <w:rsid w:val="00A00B42"/>
    <w:rsid w:val="00A027F6"/>
    <w:rsid w:val="00A04A6C"/>
    <w:rsid w:val="00A15D2E"/>
    <w:rsid w:val="00A215DB"/>
    <w:rsid w:val="00A2391D"/>
    <w:rsid w:val="00A27403"/>
    <w:rsid w:val="00A27D70"/>
    <w:rsid w:val="00A308B4"/>
    <w:rsid w:val="00A30EF5"/>
    <w:rsid w:val="00A3197D"/>
    <w:rsid w:val="00A34C8C"/>
    <w:rsid w:val="00A36E33"/>
    <w:rsid w:val="00A3772E"/>
    <w:rsid w:val="00A40891"/>
    <w:rsid w:val="00A44ABB"/>
    <w:rsid w:val="00A472AD"/>
    <w:rsid w:val="00A636A6"/>
    <w:rsid w:val="00A64B0D"/>
    <w:rsid w:val="00A665E7"/>
    <w:rsid w:val="00A73D56"/>
    <w:rsid w:val="00A741BF"/>
    <w:rsid w:val="00A77E98"/>
    <w:rsid w:val="00A82504"/>
    <w:rsid w:val="00A84247"/>
    <w:rsid w:val="00A87371"/>
    <w:rsid w:val="00A901AB"/>
    <w:rsid w:val="00A902E0"/>
    <w:rsid w:val="00AA00F5"/>
    <w:rsid w:val="00AA28DD"/>
    <w:rsid w:val="00AA5C6E"/>
    <w:rsid w:val="00AA7942"/>
    <w:rsid w:val="00AB09C6"/>
    <w:rsid w:val="00AB20FB"/>
    <w:rsid w:val="00AB7793"/>
    <w:rsid w:val="00AC2628"/>
    <w:rsid w:val="00AC4E3C"/>
    <w:rsid w:val="00AC5952"/>
    <w:rsid w:val="00AD3EC0"/>
    <w:rsid w:val="00AD7F6F"/>
    <w:rsid w:val="00AE3A93"/>
    <w:rsid w:val="00AE44FC"/>
    <w:rsid w:val="00AF41BB"/>
    <w:rsid w:val="00AF42D3"/>
    <w:rsid w:val="00AF4A78"/>
    <w:rsid w:val="00AF6373"/>
    <w:rsid w:val="00B0012C"/>
    <w:rsid w:val="00B018B5"/>
    <w:rsid w:val="00B03AED"/>
    <w:rsid w:val="00B06C8C"/>
    <w:rsid w:val="00B10C67"/>
    <w:rsid w:val="00B22088"/>
    <w:rsid w:val="00B23A4D"/>
    <w:rsid w:val="00B23C18"/>
    <w:rsid w:val="00B30D14"/>
    <w:rsid w:val="00B35DBD"/>
    <w:rsid w:val="00B4102E"/>
    <w:rsid w:val="00B41142"/>
    <w:rsid w:val="00B422AB"/>
    <w:rsid w:val="00B4277F"/>
    <w:rsid w:val="00B5084B"/>
    <w:rsid w:val="00B5410C"/>
    <w:rsid w:val="00B65AF1"/>
    <w:rsid w:val="00B65EBF"/>
    <w:rsid w:val="00B67C22"/>
    <w:rsid w:val="00B7197D"/>
    <w:rsid w:val="00B71F16"/>
    <w:rsid w:val="00B731A7"/>
    <w:rsid w:val="00B74B95"/>
    <w:rsid w:val="00B82610"/>
    <w:rsid w:val="00B83D1C"/>
    <w:rsid w:val="00B83DFB"/>
    <w:rsid w:val="00B87258"/>
    <w:rsid w:val="00BA1E3D"/>
    <w:rsid w:val="00BA1F23"/>
    <w:rsid w:val="00BA40A9"/>
    <w:rsid w:val="00BA5214"/>
    <w:rsid w:val="00BA61B1"/>
    <w:rsid w:val="00BB42CC"/>
    <w:rsid w:val="00BB4D8C"/>
    <w:rsid w:val="00BC6555"/>
    <w:rsid w:val="00BD2F6E"/>
    <w:rsid w:val="00BD620D"/>
    <w:rsid w:val="00BE257A"/>
    <w:rsid w:val="00BE6BD9"/>
    <w:rsid w:val="00BE7C61"/>
    <w:rsid w:val="00BF28CE"/>
    <w:rsid w:val="00C014A3"/>
    <w:rsid w:val="00C0184E"/>
    <w:rsid w:val="00C17FD4"/>
    <w:rsid w:val="00C2005B"/>
    <w:rsid w:val="00C21C25"/>
    <w:rsid w:val="00C23D35"/>
    <w:rsid w:val="00C240BD"/>
    <w:rsid w:val="00C26531"/>
    <w:rsid w:val="00C5412E"/>
    <w:rsid w:val="00C5448E"/>
    <w:rsid w:val="00C54F8B"/>
    <w:rsid w:val="00C606D4"/>
    <w:rsid w:val="00C620BE"/>
    <w:rsid w:val="00C65DC9"/>
    <w:rsid w:val="00C70863"/>
    <w:rsid w:val="00C76EFA"/>
    <w:rsid w:val="00C80D99"/>
    <w:rsid w:val="00C8255E"/>
    <w:rsid w:val="00C82F97"/>
    <w:rsid w:val="00C85349"/>
    <w:rsid w:val="00C856C1"/>
    <w:rsid w:val="00C86F3C"/>
    <w:rsid w:val="00C87891"/>
    <w:rsid w:val="00C92A3F"/>
    <w:rsid w:val="00C955D5"/>
    <w:rsid w:val="00CA3A8D"/>
    <w:rsid w:val="00CB45A3"/>
    <w:rsid w:val="00CB4854"/>
    <w:rsid w:val="00CB5FE1"/>
    <w:rsid w:val="00CB6C73"/>
    <w:rsid w:val="00CC585B"/>
    <w:rsid w:val="00CD06AD"/>
    <w:rsid w:val="00CD2141"/>
    <w:rsid w:val="00CD4D97"/>
    <w:rsid w:val="00CE068E"/>
    <w:rsid w:val="00CE778C"/>
    <w:rsid w:val="00CF3144"/>
    <w:rsid w:val="00CF5C74"/>
    <w:rsid w:val="00CF7FF8"/>
    <w:rsid w:val="00D06ADB"/>
    <w:rsid w:val="00D07DCB"/>
    <w:rsid w:val="00D15C83"/>
    <w:rsid w:val="00D17E01"/>
    <w:rsid w:val="00D24188"/>
    <w:rsid w:val="00D2583B"/>
    <w:rsid w:val="00D2679F"/>
    <w:rsid w:val="00D27672"/>
    <w:rsid w:val="00D3102B"/>
    <w:rsid w:val="00D31DF7"/>
    <w:rsid w:val="00D32D69"/>
    <w:rsid w:val="00D37A42"/>
    <w:rsid w:val="00D40055"/>
    <w:rsid w:val="00D43DAB"/>
    <w:rsid w:val="00D452F3"/>
    <w:rsid w:val="00D458DE"/>
    <w:rsid w:val="00D52828"/>
    <w:rsid w:val="00D53649"/>
    <w:rsid w:val="00D5530C"/>
    <w:rsid w:val="00D5702B"/>
    <w:rsid w:val="00D709E7"/>
    <w:rsid w:val="00D724BF"/>
    <w:rsid w:val="00D756C6"/>
    <w:rsid w:val="00D8157E"/>
    <w:rsid w:val="00D82307"/>
    <w:rsid w:val="00D90986"/>
    <w:rsid w:val="00D91B67"/>
    <w:rsid w:val="00D9653B"/>
    <w:rsid w:val="00D97169"/>
    <w:rsid w:val="00DA05A1"/>
    <w:rsid w:val="00DA07F1"/>
    <w:rsid w:val="00DA29A7"/>
    <w:rsid w:val="00DA403B"/>
    <w:rsid w:val="00DA61C8"/>
    <w:rsid w:val="00DA6C8B"/>
    <w:rsid w:val="00DB12A7"/>
    <w:rsid w:val="00DB248E"/>
    <w:rsid w:val="00DB438C"/>
    <w:rsid w:val="00DC295E"/>
    <w:rsid w:val="00DC3AA6"/>
    <w:rsid w:val="00DC3BB3"/>
    <w:rsid w:val="00DC6E5A"/>
    <w:rsid w:val="00DD26C3"/>
    <w:rsid w:val="00DD404E"/>
    <w:rsid w:val="00DD5A19"/>
    <w:rsid w:val="00DE7494"/>
    <w:rsid w:val="00E01395"/>
    <w:rsid w:val="00E044F2"/>
    <w:rsid w:val="00E07347"/>
    <w:rsid w:val="00E16C54"/>
    <w:rsid w:val="00E2226C"/>
    <w:rsid w:val="00E22DFF"/>
    <w:rsid w:val="00E249A2"/>
    <w:rsid w:val="00E357EC"/>
    <w:rsid w:val="00E376A8"/>
    <w:rsid w:val="00E37CD3"/>
    <w:rsid w:val="00E43B0C"/>
    <w:rsid w:val="00E44FD6"/>
    <w:rsid w:val="00E47D77"/>
    <w:rsid w:val="00E5074A"/>
    <w:rsid w:val="00E52F35"/>
    <w:rsid w:val="00E53824"/>
    <w:rsid w:val="00E60B59"/>
    <w:rsid w:val="00E6336C"/>
    <w:rsid w:val="00E73BC8"/>
    <w:rsid w:val="00E743CB"/>
    <w:rsid w:val="00E74773"/>
    <w:rsid w:val="00E75757"/>
    <w:rsid w:val="00E803BA"/>
    <w:rsid w:val="00E810A2"/>
    <w:rsid w:val="00E84B13"/>
    <w:rsid w:val="00E866B7"/>
    <w:rsid w:val="00EB3109"/>
    <w:rsid w:val="00EB61B6"/>
    <w:rsid w:val="00EC0AF5"/>
    <w:rsid w:val="00EC49FD"/>
    <w:rsid w:val="00EC4EBF"/>
    <w:rsid w:val="00ED0482"/>
    <w:rsid w:val="00EE13D1"/>
    <w:rsid w:val="00EE3F61"/>
    <w:rsid w:val="00EE71A6"/>
    <w:rsid w:val="00EE7FC9"/>
    <w:rsid w:val="00F05CD8"/>
    <w:rsid w:val="00F136E1"/>
    <w:rsid w:val="00F139AF"/>
    <w:rsid w:val="00F20AEE"/>
    <w:rsid w:val="00F20FBF"/>
    <w:rsid w:val="00F21A60"/>
    <w:rsid w:val="00F26BC3"/>
    <w:rsid w:val="00F27321"/>
    <w:rsid w:val="00F40918"/>
    <w:rsid w:val="00F52598"/>
    <w:rsid w:val="00F533C7"/>
    <w:rsid w:val="00F5391F"/>
    <w:rsid w:val="00F72829"/>
    <w:rsid w:val="00F74739"/>
    <w:rsid w:val="00F7511F"/>
    <w:rsid w:val="00F7571C"/>
    <w:rsid w:val="00F758DE"/>
    <w:rsid w:val="00F7692C"/>
    <w:rsid w:val="00F8107B"/>
    <w:rsid w:val="00F82484"/>
    <w:rsid w:val="00F846A0"/>
    <w:rsid w:val="00F930B8"/>
    <w:rsid w:val="00F944A1"/>
    <w:rsid w:val="00F950A8"/>
    <w:rsid w:val="00FA2131"/>
    <w:rsid w:val="00FA3742"/>
    <w:rsid w:val="00FA5CAD"/>
    <w:rsid w:val="00FA6DF2"/>
    <w:rsid w:val="00FB5FC1"/>
    <w:rsid w:val="00FC088B"/>
    <w:rsid w:val="00FC2714"/>
    <w:rsid w:val="00FD100B"/>
    <w:rsid w:val="00FD367A"/>
    <w:rsid w:val="00FE1EB2"/>
    <w:rsid w:val="00FE30E6"/>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5:docId w15:val="{F073B6BB-BAE9-488F-9D29-5F953B3D4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D190A-9521-4216-9FB0-2F3EB9BD2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2314</TotalTime>
  <Pages>11</Pages>
  <Words>1027</Words>
  <Characters>5650</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537</cp:revision>
  <cp:lastPrinted>2018-03-12T09:18:00Z</cp:lastPrinted>
  <dcterms:created xsi:type="dcterms:W3CDTF">2018-02-02T13:49:00Z</dcterms:created>
  <dcterms:modified xsi:type="dcterms:W3CDTF">2018-05-28T08:07:00Z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