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44C" w:rsidRDefault="001E044C">
      <w:pPr>
        <w:rPr>
          <w:rFonts w:ascii="Arial" w:hAnsi="Arial" w:cs="Arial"/>
          <w:sz w:val="20"/>
          <w:szCs w:val="20"/>
          <w:lang w:val="fr-FR"/>
        </w:rPr>
      </w:pPr>
    </w:p>
    <w:p w:rsidR="00932971" w:rsidRPr="008F3A7B" w:rsidRDefault="008F7A00">
      <w:pPr>
        <w:rPr>
          <w:rFonts w:ascii="Arial" w:hAnsi="Arial" w:cs="Arial"/>
          <w:b/>
          <w:sz w:val="36"/>
          <w:szCs w:val="36"/>
          <w:u w:val="single"/>
          <w:lang w:val="fr-FR"/>
        </w:rPr>
      </w:pPr>
      <w:r>
        <w:rPr>
          <w:rFonts w:ascii="Arial" w:hAnsi="Arial" w:cs="Arial"/>
          <w:sz w:val="20"/>
          <w:szCs w:val="20"/>
          <w:lang w:val="fr-FR"/>
        </w:rPr>
        <w:t xml:space="preserve">                                    </w:t>
      </w:r>
      <w:r w:rsidRPr="008F7A00">
        <w:rPr>
          <w:rFonts w:ascii="Arial" w:hAnsi="Arial" w:cs="Arial"/>
          <w:b/>
          <w:sz w:val="36"/>
          <w:szCs w:val="36"/>
          <w:u w:val="single"/>
          <w:lang w:val="fr-FR"/>
        </w:rPr>
        <w:t xml:space="preserve">ITALIE </w:t>
      </w:r>
      <w:r>
        <w:rPr>
          <w:rFonts w:ascii="Arial" w:hAnsi="Arial" w:cs="Arial"/>
          <w:b/>
          <w:sz w:val="36"/>
          <w:szCs w:val="36"/>
          <w:u w:val="single"/>
          <w:lang w:val="fr-FR"/>
        </w:rPr>
        <w:t xml:space="preserve"> 10 ANS</w:t>
      </w:r>
    </w:p>
    <w:p w:rsidR="00932971" w:rsidRDefault="00932971">
      <w:pPr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noProof/>
          <w:sz w:val="20"/>
          <w:szCs w:val="20"/>
          <w:lang w:val="fr-FR" w:eastAsia="fr-FR"/>
        </w:rPr>
        <w:drawing>
          <wp:inline distT="0" distB="0" distL="0" distR="0">
            <wp:extent cx="5732145" cy="4130883"/>
            <wp:effectExtent l="0" t="0" r="1905" b="3175"/>
            <wp:docPr id="1" name="Image 1" descr="C:\Temp\Bloomberg\temp\bfmEA2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Bloomberg\temp\bfmEA27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413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971" w:rsidRPr="00AC20EC" w:rsidRDefault="00243FAC">
      <w:pPr>
        <w:rPr>
          <w:rFonts w:ascii="Tahoma" w:hAnsi="Tahoma" w:cs="Tahoma"/>
          <w:lang w:val="fr-FR"/>
        </w:rPr>
      </w:pPr>
      <w:r w:rsidRPr="00AC20EC">
        <w:rPr>
          <w:rFonts w:ascii="Tahoma" w:hAnsi="Tahoma" w:cs="Tahoma"/>
          <w:lang w:val="fr-FR"/>
        </w:rPr>
        <w:t>La recherche de la sécurité domine les marchés de taux.</w:t>
      </w:r>
    </w:p>
    <w:p w:rsidR="005E3391" w:rsidRPr="00AC20EC" w:rsidRDefault="00243FAC">
      <w:pPr>
        <w:rPr>
          <w:rFonts w:ascii="Tahoma" w:hAnsi="Tahoma" w:cs="Tahoma"/>
          <w:lang w:val="fr-FR"/>
        </w:rPr>
      </w:pPr>
      <w:r w:rsidRPr="00AC20EC">
        <w:rPr>
          <w:rFonts w:ascii="Tahoma" w:hAnsi="Tahoma" w:cs="Tahoma"/>
          <w:lang w:val="fr-FR"/>
        </w:rPr>
        <w:t xml:space="preserve">Lorsque ces derniers n’ont plus de </w:t>
      </w:r>
      <w:r w:rsidR="000A4BE9" w:rsidRPr="00AC20EC">
        <w:rPr>
          <w:rFonts w:ascii="Tahoma" w:hAnsi="Tahoma" w:cs="Tahoma"/>
          <w:lang w:val="fr-FR"/>
        </w:rPr>
        <w:t>repères</w:t>
      </w:r>
      <w:r w:rsidR="00E12F49" w:rsidRPr="00AC20EC">
        <w:rPr>
          <w:rFonts w:ascii="Tahoma" w:hAnsi="Tahoma" w:cs="Tahoma"/>
          <w:lang w:val="fr-FR"/>
        </w:rPr>
        <w:t xml:space="preserve">, le technique peut </w:t>
      </w:r>
      <w:r w:rsidR="00C66474">
        <w:rPr>
          <w:rFonts w:ascii="Tahoma" w:hAnsi="Tahoma" w:cs="Tahoma"/>
          <w:lang w:val="fr-FR"/>
        </w:rPr>
        <w:t xml:space="preserve">leur </w:t>
      </w:r>
      <w:r w:rsidR="00E12F49" w:rsidRPr="00AC20EC">
        <w:rPr>
          <w:rFonts w:ascii="Tahoma" w:hAnsi="Tahoma" w:cs="Tahoma"/>
          <w:lang w:val="fr-FR"/>
        </w:rPr>
        <w:t>apporter une source d’information</w:t>
      </w:r>
      <w:r w:rsidR="005E3391" w:rsidRPr="00AC20EC">
        <w:rPr>
          <w:rFonts w:ascii="Tahoma" w:hAnsi="Tahoma" w:cs="Tahoma"/>
          <w:lang w:val="fr-FR"/>
        </w:rPr>
        <w:t>.</w:t>
      </w:r>
    </w:p>
    <w:p w:rsidR="00AC20EC" w:rsidRPr="00AC20EC" w:rsidRDefault="005E3391">
      <w:pPr>
        <w:rPr>
          <w:rFonts w:ascii="Tahoma" w:hAnsi="Tahoma" w:cs="Tahoma"/>
          <w:lang w:val="fr-FR"/>
        </w:rPr>
      </w:pPr>
      <w:r w:rsidRPr="00AC20EC">
        <w:rPr>
          <w:rFonts w:ascii="Tahoma" w:hAnsi="Tahoma" w:cs="Tahoma"/>
          <w:lang w:val="fr-FR"/>
        </w:rPr>
        <w:t xml:space="preserve">Le 10 ans BTP évolue sur des niveaux impensables il y a quelques semaines. </w:t>
      </w:r>
      <w:r w:rsidR="00C66474">
        <w:rPr>
          <w:rFonts w:ascii="Tahoma" w:hAnsi="Tahoma" w:cs="Tahoma"/>
          <w:lang w:val="fr-FR"/>
        </w:rPr>
        <w:t>Où va-t-il s’</w:t>
      </w:r>
      <w:proofErr w:type="spellStart"/>
      <w:r w:rsidR="00C66474">
        <w:rPr>
          <w:rFonts w:ascii="Tahoma" w:hAnsi="Tahoma" w:cs="Tahoma"/>
          <w:lang w:val="fr-FR"/>
        </w:rPr>
        <w:t>arreter</w:t>
      </w:r>
      <w:proofErr w:type="spellEnd"/>
      <w:r w:rsidR="00C66474">
        <w:rPr>
          <w:rFonts w:ascii="Tahoma" w:hAnsi="Tahoma" w:cs="Tahoma"/>
          <w:lang w:val="fr-FR"/>
        </w:rPr>
        <w:t xml:space="preserve"> ? </w:t>
      </w:r>
      <w:r w:rsidR="00AC20EC" w:rsidRPr="00AC20EC">
        <w:rPr>
          <w:rFonts w:ascii="Tahoma" w:hAnsi="Tahoma" w:cs="Tahoma"/>
          <w:lang w:val="fr-FR"/>
        </w:rPr>
        <w:t xml:space="preserve">Quel est le niveau de 10 ans qui </w:t>
      </w:r>
      <w:r w:rsidR="006E5238">
        <w:rPr>
          <w:rFonts w:ascii="Tahoma" w:hAnsi="Tahoma" w:cs="Tahoma"/>
          <w:lang w:val="fr-FR"/>
        </w:rPr>
        <w:t>accompagnera</w:t>
      </w:r>
      <w:r w:rsidR="00AC20EC" w:rsidRPr="00AC20EC">
        <w:rPr>
          <w:rFonts w:ascii="Tahoma" w:hAnsi="Tahoma" w:cs="Tahoma"/>
          <w:lang w:val="fr-FR"/>
        </w:rPr>
        <w:t xml:space="preserve"> l’orientation politique que prendra le pays ?</w:t>
      </w:r>
    </w:p>
    <w:p w:rsidR="00AC20EC" w:rsidRDefault="00AC20EC">
      <w:pPr>
        <w:rPr>
          <w:rFonts w:ascii="Tahoma" w:hAnsi="Tahoma" w:cs="Tahoma"/>
          <w:lang w:val="fr-FR"/>
        </w:rPr>
      </w:pPr>
      <w:r w:rsidRPr="00AC20EC">
        <w:rPr>
          <w:rFonts w:ascii="Tahoma" w:hAnsi="Tahoma" w:cs="Tahoma"/>
          <w:lang w:val="fr-FR"/>
        </w:rPr>
        <w:t xml:space="preserve">Difficile d’avoir une idée précise sur l’évolution à venir du marché en dehors </w:t>
      </w:r>
      <w:r w:rsidR="00C66474">
        <w:rPr>
          <w:rFonts w:ascii="Tahoma" w:hAnsi="Tahoma" w:cs="Tahoma"/>
          <w:lang w:val="fr-FR"/>
        </w:rPr>
        <w:t xml:space="preserve">du fait </w:t>
      </w:r>
      <w:r w:rsidRPr="00AC20EC">
        <w:rPr>
          <w:rFonts w:ascii="Tahoma" w:hAnsi="Tahoma" w:cs="Tahoma"/>
          <w:lang w:val="fr-FR"/>
        </w:rPr>
        <w:t>qu’il est entré dans une phase haussière depuis le dépassement du sommet de 2.43.</w:t>
      </w:r>
    </w:p>
    <w:p w:rsidR="00AC20EC" w:rsidRDefault="00AC20EC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L’action du </w:t>
      </w:r>
      <w:r w:rsidR="00BD59C8">
        <w:rPr>
          <w:rFonts w:ascii="Tahoma" w:hAnsi="Tahoma" w:cs="Tahoma"/>
          <w:lang w:val="fr-FR"/>
        </w:rPr>
        <w:t>marché</w:t>
      </w:r>
      <w:r>
        <w:rPr>
          <w:rFonts w:ascii="Tahoma" w:hAnsi="Tahoma" w:cs="Tahoma"/>
          <w:lang w:val="fr-FR"/>
        </w:rPr>
        <w:t xml:space="preserve"> appuie l’idée que le technique guide indirectement le mouvement du taux.</w:t>
      </w:r>
    </w:p>
    <w:p w:rsidR="00AC20EC" w:rsidRDefault="00AC20EC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>La cassure de 2.43 avait pour cible le pic de 2.72, du mois de juin de 2015. Ce point a limité la hausse de la séance d’hier.</w:t>
      </w:r>
    </w:p>
    <w:p w:rsidR="00AC20EC" w:rsidRDefault="00AC20EC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Aujourd’hui la reprise du mouvement haussier s’est </w:t>
      </w:r>
      <w:r w:rsidR="000A4BE9">
        <w:rPr>
          <w:rFonts w:ascii="Tahoma" w:hAnsi="Tahoma" w:cs="Tahoma"/>
          <w:lang w:val="fr-FR"/>
        </w:rPr>
        <w:t>traduite</w:t>
      </w:r>
      <w:r>
        <w:rPr>
          <w:rFonts w:ascii="Tahoma" w:hAnsi="Tahoma" w:cs="Tahoma"/>
          <w:lang w:val="fr-FR"/>
        </w:rPr>
        <w:t xml:space="preserve"> par un retour du taux sur un haut de 3.44. La journée n’est pas terminée et les craintes ne se sont pas apaisée</w:t>
      </w:r>
      <w:r w:rsidR="00BD59C8">
        <w:rPr>
          <w:rFonts w:ascii="Tahoma" w:hAnsi="Tahoma" w:cs="Tahoma"/>
          <w:lang w:val="fr-FR"/>
        </w:rPr>
        <w:t>s</w:t>
      </w:r>
      <w:r>
        <w:rPr>
          <w:rFonts w:ascii="Tahoma" w:hAnsi="Tahoma" w:cs="Tahoma"/>
          <w:lang w:val="fr-FR"/>
        </w:rPr>
        <w:t xml:space="preserve">. Mais ce point est proche du premier niveau de retracement </w:t>
      </w:r>
      <w:r w:rsidR="00E55043">
        <w:rPr>
          <w:rFonts w:ascii="Tahoma" w:hAnsi="Tahoma" w:cs="Tahoma"/>
          <w:lang w:val="fr-FR"/>
        </w:rPr>
        <w:t xml:space="preserve">de 3.50 </w:t>
      </w:r>
      <w:r>
        <w:rPr>
          <w:rFonts w:ascii="Tahoma" w:hAnsi="Tahoma" w:cs="Tahoma"/>
          <w:lang w:val="fr-FR"/>
        </w:rPr>
        <w:t xml:space="preserve">à savoir 38.2% de correction de la baisse comprise entre </w:t>
      </w:r>
      <w:r w:rsidR="00E55043">
        <w:rPr>
          <w:rFonts w:ascii="Tahoma" w:hAnsi="Tahoma" w:cs="Tahoma"/>
          <w:lang w:val="fr-FR"/>
        </w:rPr>
        <w:t>7.48 et 1.03.</w:t>
      </w:r>
      <w:r>
        <w:rPr>
          <w:rFonts w:ascii="Tahoma" w:hAnsi="Tahoma" w:cs="Tahoma"/>
          <w:lang w:val="fr-FR"/>
        </w:rPr>
        <w:t xml:space="preserve"> </w:t>
      </w:r>
    </w:p>
    <w:p w:rsidR="001E04DA" w:rsidRDefault="001E04DA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lastRenderedPageBreak/>
        <w:t xml:space="preserve">Ce constat implique qu’une cassure de 3.50 </w:t>
      </w:r>
      <w:r w:rsidR="000A4BE9">
        <w:rPr>
          <w:rFonts w:ascii="Tahoma" w:hAnsi="Tahoma" w:cs="Tahoma"/>
          <w:lang w:val="fr-FR"/>
        </w:rPr>
        <w:t>amènera</w:t>
      </w:r>
      <w:r>
        <w:rPr>
          <w:rFonts w:ascii="Tahoma" w:hAnsi="Tahoma" w:cs="Tahoma"/>
          <w:lang w:val="fr-FR"/>
        </w:rPr>
        <w:t xml:space="preserve"> le ta</w:t>
      </w:r>
      <w:r w:rsidR="007748DA">
        <w:rPr>
          <w:rFonts w:ascii="Tahoma" w:hAnsi="Tahoma" w:cs="Tahoma"/>
          <w:lang w:val="fr-FR"/>
        </w:rPr>
        <w:t xml:space="preserve">ux sur le point suivant de 4.25 et par la suite </w:t>
      </w:r>
      <w:r w:rsidR="002D2775">
        <w:rPr>
          <w:rFonts w:ascii="Tahoma" w:hAnsi="Tahoma" w:cs="Tahoma"/>
          <w:lang w:val="fr-FR"/>
        </w:rPr>
        <w:t>5.00.</w:t>
      </w:r>
    </w:p>
    <w:p w:rsidR="005139E7" w:rsidRPr="00ED3961" w:rsidRDefault="00194A91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Une diminution du sentiment de stress passera dans un premier temps par un retour du 10 ans sous l’ancienne résistance de 2.72. Le maintien du marché </w:t>
      </w:r>
      <w:r w:rsidR="000A4BE9">
        <w:rPr>
          <w:rFonts w:ascii="Tahoma" w:hAnsi="Tahoma" w:cs="Tahoma"/>
          <w:lang w:val="fr-FR"/>
        </w:rPr>
        <w:t>au-dessus</w:t>
      </w:r>
      <w:r>
        <w:rPr>
          <w:rFonts w:ascii="Tahoma" w:hAnsi="Tahoma" w:cs="Tahoma"/>
          <w:lang w:val="fr-FR"/>
        </w:rPr>
        <w:t xml:space="preserve"> de ce point indiquera que le marché est toujours en alerte, </w:t>
      </w:r>
      <w:r w:rsidR="000A4BE9">
        <w:rPr>
          <w:rFonts w:ascii="Tahoma" w:hAnsi="Tahoma" w:cs="Tahoma"/>
          <w:lang w:val="fr-FR"/>
        </w:rPr>
        <w:t>prêt</w:t>
      </w:r>
      <w:r>
        <w:rPr>
          <w:rFonts w:ascii="Tahoma" w:hAnsi="Tahoma" w:cs="Tahoma"/>
          <w:lang w:val="fr-FR"/>
        </w:rPr>
        <w:t xml:space="preserve"> à repartir à la hausse.</w:t>
      </w:r>
    </w:p>
    <w:p w:rsidR="005139E7" w:rsidRDefault="005139E7">
      <w:pPr>
        <w:rPr>
          <w:rFonts w:ascii="Tahoma" w:hAnsi="Tahoma" w:cs="Tahoma"/>
          <w:sz w:val="24"/>
          <w:szCs w:val="24"/>
          <w:lang w:val="fr-FR"/>
        </w:rPr>
      </w:pPr>
      <w:r>
        <w:rPr>
          <w:rFonts w:ascii="Tahoma" w:hAnsi="Tahoma" w:cs="Tahoma"/>
          <w:noProof/>
          <w:sz w:val="24"/>
          <w:szCs w:val="24"/>
          <w:lang w:val="fr-FR" w:eastAsia="fr-FR"/>
        </w:rPr>
        <w:drawing>
          <wp:inline distT="0" distB="0" distL="0" distR="0">
            <wp:extent cx="5731856" cy="3884965"/>
            <wp:effectExtent l="0" t="0" r="2540" b="1270"/>
            <wp:docPr id="2" name="Image 2" descr="C:\Temp\Bloomberg\temp\bfm1F3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Bloomberg\temp\bfm1F34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640" cy="3886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90B" w:rsidRPr="00186F7E" w:rsidRDefault="00BD390B">
      <w:pPr>
        <w:rPr>
          <w:rFonts w:ascii="Tahoma" w:hAnsi="Tahoma" w:cs="Tahoma"/>
          <w:lang w:val="fr-FR"/>
        </w:rPr>
      </w:pPr>
      <w:r w:rsidRPr="00186F7E">
        <w:rPr>
          <w:rFonts w:ascii="Tahoma" w:hAnsi="Tahoma" w:cs="Tahoma"/>
          <w:lang w:val="fr-FR"/>
        </w:rPr>
        <w:t xml:space="preserve">L’analyse en nuage </w:t>
      </w:r>
      <w:r w:rsidR="00ED3961">
        <w:rPr>
          <w:rFonts w:ascii="Tahoma" w:hAnsi="Tahoma" w:cs="Tahoma"/>
          <w:lang w:val="fr-FR"/>
        </w:rPr>
        <w:t xml:space="preserve">ne </w:t>
      </w:r>
      <w:r w:rsidRPr="00186F7E">
        <w:rPr>
          <w:rFonts w:ascii="Tahoma" w:hAnsi="Tahoma" w:cs="Tahoma"/>
          <w:lang w:val="fr-FR"/>
        </w:rPr>
        <w:t xml:space="preserve">trouve </w:t>
      </w:r>
      <w:r w:rsidR="00ED3961">
        <w:rPr>
          <w:rFonts w:ascii="Tahoma" w:hAnsi="Tahoma" w:cs="Tahoma"/>
          <w:lang w:val="fr-FR"/>
        </w:rPr>
        <w:t xml:space="preserve">que </w:t>
      </w:r>
      <w:r w:rsidRPr="00186F7E">
        <w:rPr>
          <w:rFonts w:ascii="Tahoma" w:hAnsi="Tahoma" w:cs="Tahoma"/>
          <w:lang w:val="fr-FR"/>
        </w:rPr>
        <w:t>des r</w:t>
      </w:r>
      <w:r w:rsidR="00026ECE" w:rsidRPr="00186F7E">
        <w:rPr>
          <w:rFonts w:ascii="Tahoma" w:hAnsi="Tahoma" w:cs="Tahoma"/>
          <w:lang w:val="fr-FR"/>
        </w:rPr>
        <w:t>ésistances sur le long terme. Court et moyen terme évolue</w:t>
      </w:r>
      <w:r w:rsidR="00ED3961">
        <w:rPr>
          <w:rFonts w:ascii="Tahoma" w:hAnsi="Tahoma" w:cs="Tahoma"/>
          <w:lang w:val="fr-FR"/>
        </w:rPr>
        <w:t>nt</w:t>
      </w:r>
      <w:r w:rsidR="00026ECE" w:rsidRPr="00186F7E">
        <w:rPr>
          <w:rFonts w:ascii="Tahoma" w:hAnsi="Tahoma" w:cs="Tahoma"/>
          <w:lang w:val="fr-FR"/>
        </w:rPr>
        <w:t xml:space="preserve"> dans un environnement haussier et n’ont plus d’obstacles pour </w:t>
      </w:r>
      <w:r w:rsidR="00ED3961">
        <w:rPr>
          <w:rFonts w:ascii="Tahoma" w:hAnsi="Tahoma" w:cs="Tahoma"/>
          <w:lang w:val="fr-FR"/>
        </w:rPr>
        <w:t xml:space="preserve">continuer de </w:t>
      </w:r>
      <w:r w:rsidR="00026ECE" w:rsidRPr="00186F7E">
        <w:rPr>
          <w:rFonts w:ascii="Tahoma" w:hAnsi="Tahoma" w:cs="Tahoma"/>
          <w:lang w:val="fr-FR"/>
        </w:rPr>
        <w:t>progresser.</w:t>
      </w:r>
    </w:p>
    <w:p w:rsidR="00026ECE" w:rsidRPr="00186F7E" w:rsidRDefault="00026ECE">
      <w:pPr>
        <w:rPr>
          <w:rFonts w:ascii="Tahoma" w:hAnsi="Tahoma" w:cs="Tahoma"/>
          <w:lang w:val="fr-FR"/>
        </w:rPr>
      </w:pPr>
      <w:r w:rsidRPr="00186F7E">
        <w:rPr>
          <w:rFonts w:ascii="Tahoma" w:hAnsi="Tahoma" w:cs="Tahoma"/>
          <w:lang w:val="fr-FR"/>
        </w:rPr>
        <w:t xml:space="preserve">Sur le </w:t>
      </w:r>
      <w:r w:rsidR="00E74DFC" w:rsidRPr="00186F7E">
        <w:rPr>
          <w:rFonts w:ascii="Tahoma" w:hAnsi="Tahoma" w:cs="Tahoma"/>
          <w:lang w:val="fr-FR"/>
        </w:rPr>
        <w:t>long terme, le taux a pénétré son nuage</w:t>
      </w:r>
      <w:r w:rsidR="00ED3961">
        <w:rPr>
          <w:rFonts w:ascii="Tahoma" w:hAnsi="Tahoma" w:cs="Tahoma"/>
          <w:lang w:val="fr-FR"/>
        </w:rPr>
        <w:t>. Il</w:t>
      </w:r>
      <w:r w:rsidR="00E74DFC" w:rsidRPr="00186F7E">
        <w:rPr>
          <w:rFonts w:ascii="Tahoma" w:hAnsi="Tahoma" w:cs="Tahoma"/>
          <w:lang w:val="fr-FR"/>
        </w:rPr>
        <w:t xml:space="preserve"> dessine un support sur 1.93 et une résistance sur 4.10.</w:t>
      </w:r>
      <w:r w:rsidR="004A469E" w:rsidRPr="00186F7E">
        <w:rPr>
          <w:rFonts w:ascii="Tahoma" w:hAnsi="Tahoma" w:cs="Tahoma"/>
          <w:lang w:val="fr-FR"/>
        </w:rPr>
        <w:t xml:space="preserve"> </w:t>
      </w:r>
    </w:p>
    <w:p w:rsidR="004A469E" w:rsidRDefault="00C562F3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 xml:space="preserve">Une cassure de cette SSB </w:t>
      </w:r>
      <w:r w:rsidR="00ED3961">
        <w:rPr>
          <w:rFonts w:ascii="Tahoma" w:hAnsi="Tahoma" w:cs="Tahoma"/>
          <w:lang w:val="fr-FR"/>
        </w:rPr>
        <w:t xml:space="preserve">(bordure de nuage) </w:t>
      </w:r>
      <w:r w:rsidR="000A4BE9">
        <w:rPr>
          <w:rFonts w:ascii="Tahoma" w:hAnsi="Tahoma" w:cs="Tahoma"/>
          <w:lang w:val="fr-FR"/>
        </w:rPr>
        <w:t>amènera</w:t>
      </w:r>
      <w:r>
        <w:rPr>
          <w:rFonts w:ascii="Tahoma" w:hAnsi="Tahoma" w:cs="Tahoma"/>
          <w:lang w:val="fr-FR"/>
        </w:rPr>
        <w:t xml:space="preserve"> le marché à poursuivre son mouvement de hausse pour venir chercher un autre plat de nuage, plus important car plus long, sur 4.25.</w:t>
      </w:r>
    </w:p>
    <w:p w:rsidR="000A4BE9" w:rsidRDefault="00ED3961">
      <w:pPr>
        <w:rPr>
          <w:rFonts w:ascii="Tahoma" w:hAnsi="Tahoma" w:cs="Tahoma"/>
          <w:lang w:val="fr-FR"/>
        </w:rPr>
      </w:pPr>
      <w:r>
        <w:rPr>
          <w:rFonts w:ascii="Tahoma" w:hAnsi="Tahoma" w:cs="Tahoma"/>
          <w:lang w:val="fr-FR"/>
        </w:rPr>
        <w:t>Ce plat</w:t>
      </w:r>
      <w:r w:rsidR="00C562F3">
        <w:rPr>
          <w:rFonts w:ascii="Tahoma" w:hAnsi="Tahoma" w:cs="Tahoma"/>
          <w:lang w:val="fr-FR"/>
        </w:rPr>
        <w:t xml:space="preserve"> de nuage</w:t>
      </w:r>
      <w:r>
        <w:rPr>
          <w:rFonts w:ascii="Tahoma" w:hAnsi="Tahoma" w:cs="Tahoma"/>
          <w:lang w:val="fr-FR"/>
        </w:rPr>
        <w:t xml:space="preserve"> de 4.25</w:t>
      </w:r>
      <w:r w:rsidR="00C562F3">
        <w:rPr>
          <w:rFonts w:ascii="Tahoma" w:hAnsi="Tahoma" w:cs="Tahoma"/>
          <w:lang w:val="fr-FR"/>
        </w:rPr>
        <w:t xml:space="preserve"> renforcera le retracement de Fibonacci de 50% évoqué précédemment. Il donne une limite </w:t>
      </w:r>
      <w:r w:rsidR="00E5630E">
        <w:rPr>
          <w:rFonts w:ascii="Tahoma" w:hAnsi="Tahoma" w:cs="Tahoma"/>
          <w:lang w:val="fr-FR"/>
        </w:rPr>
        <w:t>à la tendance</w:t>
      </w:r>
      <w:bookmarkStart w:id="0" w:name="_GoBack"/>
      <w:bookmarkEnd w:id="0"/>
      <w:r>
        <w:rPr>
          <w:rFonts w:ascii="Tahoma" w:hAnsi="Tahoma" w:cs="Tahoma"/>
          <w:lang w:val="fr-FR"/>
        </w:rPr>
        <w:t xml:space="preserve"> globale, </w:t>
      </w:r>
      <w:r w:rsidR="00C562F3">
        <w:rPr>
          <w:rFonts w:ascii="Tahoma" w:hAnsi="Tahoma" w:cs="Tahoma"/>
          <w:lang w:val="fr-FR"/>
        </w:rPr>
        <w:t>qui pourrait être atteinte lorsque le marché sous l’effet du stress repartira à la hausse.</w:t>
      </w:r>
    </w:p>
    <w:p w:rsidR="00ED3961" w:rsidRDefault="00ED3961">
      <w:pPr>
        <w:rPr>
          <w:rFonts w:ascii="Tahoma" w:hAnsi="Tahoma" w:cs="Tahoma"/>
          <w:lang w:val="fr-FR"/>
        </w:rPr>
      </w:pPr>
    </w:p>
    <w:p w:rsidR="000A4BE9" w:rsidRPr="000A4BE9" w:rsidRDefault="000A4BE9">
      <w:pPr>
        <w:rPr>
          <w:rFonts w:ascii="Arial" w:hAnsi="Arial" w:cs="Arial"/>
          <w:b/>
          <w:sz w:val="32"/>
          <w:szCs w:val="32"/>
          <w:u w:val="single"/>
          <w:lang w:val="fr-FR"/>
        </w:rPr>
      </w:pPr>
      <w:r w:rsidRPr="000A4BE9">
        <w:rPr>
          <w:rFonts w:ascii="Tahoma" w:hAnsi="Tahoma" w:cs="Tahoma"/>
          <w:sz w:val="32"/>
          <w:szCs w:val="32"/>
          <w:lang w:val="fr-FR"/>
        </w:rPr>
        <w:t xml:space="preserve">                                                      </w:t>
      </w:r>
      <w:r w:rsidRPr="000A4BE9">
        <w:rPr>
          <w:rFonts w:ascii="Arial" w:hAnsi="Arial" w:cs="Arial"/>
          <w:b/>
          <w:sz w:val="32"/>
          <w:szCs w:val="32"/>
          <w:u w:val="single"/>
          <w:lang w:val="fr-FR"/>
        </w:rPr>
        <w:t>ATTAL JEAN-LUC</w:t>
      </w:r>
    </w:p>
    <w:sectPr w:rsidR="000A4BE9" w:rsidRPr="000A4BE9" w:rsidSect="001E04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FAC" w:rsidRDefault="00243FAC" w:rsidP="00243FAC">
      <w:pPr>
        <w:spacing w:after="0" w:line="240" w:lineRule="auto"/>
      </w:pPr>
      <w:r>
        <w:separator/>
      </w:r>
    </w:p>
  </w:endnote>
  <w:endnote w:type="continuationSeparator" w:id="0">
    <w:p w:rsidR="00243FAC" w:rsidRDefault="00243FAC" w:rsidP="0024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7560945" cy="273050"/>
              <wp:effectExtent l="0" t="0" r="0" b="12700"/>
              <wp:wrapNone/>
              <wp:docPr id="3" name="MSIPCM75064bde8708f6110147aa88" descr="{&quot;HashCode&quot;:110066269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243FAC" w:rsidRPr="00243FAC" w:rsidRDefault="00243FAC" w:rsidP="00243FAC">
                          <w:pPr>
                            <w:spacing w:after="0"/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</w:pPr>
                          <w:r w:rsidRPr="00243FAC">
                            <w:rPr>
                              <w:rFonts w:ascii="Calibri" w:hAnsi="Calibri" w:cs="Calibri"/>
                              <w:color w:val="737373"/>
                              <w:sz w:val="16"/>
                            </w:rPr>
                            <w:t>C2 - Internal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75064bde8708f6110147aa88" o:spid="_x0000_s1026" type="#_x0000_t202" alt="{&quot;HashCode&quot;:1100662692,&quot;Height&quot;:841.0,&quot;Width&quot;:595.0,&quot;Placement&quot;:&quot;Footer&quot;,&quot;Index&quot;:&quot;Primary&quot;,&quot;Section&quot;:1,&quot;Top&quot;:0.0,&quot;Left&quot;:0.0}" style="position:absolute;margin-left:0;margin-top:805.4pt;width:595.35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" o:allowincell="f" filled="f" stroked="f" strokeweight=".5pt">
              <v:fill o:detectmouseclick="t"/>
              <v:textbox inset="20pt,0,,0">
                <w:txbxContent>
                  <w:p w:rsidR="00243FAC" w:rsidRPr="00243FAC" w:rsidRDefault="00243FAC" w:rsidP="00243FAC">
                    <w:pPr>
                      <w:spacing w:after="0"/>
                      <w:rPr>
                        <w:rFonts w:ascii="Calibri" w:hAnsi="Calibri" w:cs="Calibri"/>
                        <w:color w:val="737373"/>
                        <w:sz w:val="16"/>
                      </w:rPr>
                    </w:pPr>
                    <w:r w:rsidRPr="00243FAC">
                      <w:rPr>
                        <w:rFonts w:ascii="Calibri" w:hAnsi="Calibri" w:cs="Calibri"/>
                        <w:color w:val="737373"/>
                        <w:sz w:val="16"/>
                      </w:rPr>
                      <w:t>C2 - Internal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FAC" w:rsidRDefault="00243FAC" w:rsidP="00243FAC">
      <w:pPr>
        <w:spacing w:after="0" w:line="240" w:lineRule="auto"/>
      </w:pPr>
      <w:r>
        <w:separator/>
      </w:r>
    </w:p>
  </w:footnote>
  <w:footnote w:type="continuationSeparator" w:id="0">
    <w:p w:rsidR="00243FAC" w:rsidRDefault="00243FAC" w:rsidP="00243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AC" w:rsidRDefault="00243FA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71"/>
    <w:rsid w:val="00026ECE"/>
    <w:rsid w:val="000A4BE9"/>
    <w:rsid w:val="000E4FB9"/>
    <w:rsid w:val="00186F7E"/>
    <w:rsid w:val="00194A91"/>
    <w:rsid w:val="001E044C"/>
    <w:rsid w:val="001E04DA"/>
    <w:rsid w:val="00243FAC"/>
    <w:rsid w:val="002D2775"/>
    <w:rsid w:val="004A469E"/>
    <w:rsid w:val="005139E7"/>
    <w:rsid w:val="005E3391"/>
    <w:rsid w:val="006E5238"/>
    <w:rsid w:val="007748DA"/>
    <w:rsid w:val="008F3A7B"/>
    <w:rsid w:val="008F7A00"/>
    <w:rsid w:val="00932971"/>
    <w:rsid w:val="00AC20EC"/>
    <w:rsid w:val="00BD390B"/>
    <w:rsid w:val="00BD59C8"/>
    <w:rsid w:val="00C562F3"/>
    <w:rsid w:val="00C66474"/>
    <w:rsid w:val="00E12F49"/>
    <w:rsid w:val="00E55043"/>
    <w:rsid w:val="00E5630E"/>
    <w:rsid w:val="00E74DFC"/>
    <w:rsid w:val="00ED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93672CB"/>
  <w15:docId w15:val="{15D22B77-33F7-459C-B3A7-075C6436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297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43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3FAC"/>
  </w:style>
  <w:style w:type="paragraph" w:styleId="Pieddepage">
    <w:name w:val="footer"/>
    <w:basedOn w:val="Normal"/>
    <w:link w:val="PieddepageCar"/>
    <w:uiPriority w:val="99"/>
    <w:unhideWhenUsed/>
    <w:rsid w:val="00243F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3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Natixis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Attal Jean Luc</dc:creator>
  <cp:lastModifiedBy>Attal Jean Luc</cp:lastModifiedBy>
  <cp:revision>22</cp:revision>
  <dcterms:created xsi:type="dcterms:W3CDTF">2018-05-29T09:38:00Z</dcterms:created>
  <dcterms:modified xsi:type="dcterms:W3CDTF">2018-05-29T11:51:00Z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7e4f81-4b1c-4a3a-b237-8636707719dc_Enabled">
    <vt:lpwstr>True</vt:lpwstr>
  </property>
  <property fmtid="{D5CDD505-2E9C-101B-9397-08002B2CF9AE}" pid="3" name="MSIP_Label_797e4f81-4b1c-4a3a-b237-8636707719dc_SiteId">
    <vt:lpwstr>d5bb6d35-8a82-4329-b49a-5030bd6497ab</vt:lpwstr>
  </property>
  <property fmtid="{D5CDD505-2E9C-101B-9397-08002B2CF9AE}" pid="4" name="MSIP_Label_797e4f81-4b1c-4a3a-b237-8636707719dc_Ref">
    <vt:lpwstr>https://api.informationprotection.azure.com/api/d5bb6d35-8a82-4329-b49a-5030bd6497ab</vt:lpwstr>
  </property>
  <property fmtid="{D5CDD505-2E9C-101B-9397-08002B2CF9AE}" pid="5" name="MSIP_Label_797e4f81-4b1c-4a3a-b237-8636707719dc_Owner">
    <vt:lpwstr>jean-luc.attal@ostrum.com</vt:lpwstr>
  </property>
  <property fmtid="{D5CDD505-2E9C-101B-9397-08002B2CF9AE}" pid="6" name="MSIP_Label_797e4f81-4b1c-4a3a-b237-8636707719dc_SetDate">
    <vt:lpwstr>2018-05-29T11:46:18.5859355+02:00</vt:lpwstr>
  </property>
  <property fmtid="{D5CDD505-2E9C-101B-9397-08002B2CF9AE}" pid="7" name="MSIP_Label_797e4f81-4b1c-4a3a-b237-8636707719dc_Name">
    <vt:lpwstr>C2 - Internal Natixis</vt:lpwstr>
  </property>
  <property fmtid="{D5CDD505-2E9C-101B-9397-08002B2CF9AE}" pid="8" name="MSIP_Label_797e4f81-4b1c-4a3a-b237-8636707719dc_Application">
    <vt:lpwstr>Microsoft Azure Information Protection</vt:lpwstr>
  </property>
  <property fmtid="{D5CDD505-2E9C-101B-9397-08002B2CF9AE}" pid="9" name="MSIP_Label_797e4f81-4b1c-4a3a-b237-8636707719dc_Extended_MSFT_Method">
    <vt:lpwstr>Automatic</vt:lpwstr>
  </property>
  <property fmtid="{D5CDD505-2E9C-101B-9397-08002B2CF9AE}" pid="10" name="Sensitivity">
    <vt:lpwstr>C2 - Internal Natixis</vt:lpwstr>
  </property>
</Properties>
</file>