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196168">
        <w:rPr>
          <w:rFonts w:ascii="Calibri Light" w:hAnsi="Calibri Light" w:cs="Arial"/>
          <w:b/>
          <w:sz w:val="44"/>
          <w:szCs w:val="44"/>
        </w:rPr>
        <w:t>04 juin</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9049D6" w:rsidRDefault="009049D6"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343C28" w:rsidRDefault="00343C28" w:rsidP="00F72829">
      <w:pPr>
        <w:jc w:val="both"/>
        <w:rPr>
          <w:rFonts w:ascii="Arial" w:hAnsi="Arial" w:cs="Arial"/>
          <w:b/>
          <w:sz w:val="22"/>
          <w:szCs w:val="22"/>
        </w:rPr>
      </w:pPr>
    </w:p>
    <w:p w:rsidR="00FB5FC1" w:rsidRPr="00800AB1" w:rsidRDefault="00FB5FC1" w:rsidP="00F72829">
      <w:pPr>
        <w:jc w:val="both"/>
        <w:rPr>
          <w:rFonts w:ascii="Arial" w:hAnsi="Arial" w:cs="Arial"/>
          <w:b/>
          <w:sz w:val="22"/>
          <w:szCs w:val="22"/>
        </w:rPr>
      </w:pPr>
    </w:p>
    <w:p w:rsidR="00F72829" w:rsidRPr="0059618B"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9618B">
        <w:rPr>
          <w:rFonts w:ascii="Arial" w:hAnsi="Arial" w:cs="Arial"/>
          <w:b/>
          <w:sz w:val="36"/>
          <w:szCs w:val="36"/>
          <w:u w:val="single"/>
        </w:rPr>
        <w:t xml:space="preserve">10 ans Euro </w:t>
      </w:r>
    </w:p>
    <w:p w:rsidR="000D4E0C" w:rsidRPr="0059618B" w:rsidRDefault="000D4E0C" w:rsidP="000D4E0C">
      <w:pPr>
        <w:autoSpaceDE w:val="0"/>
        <w:jc w:val="both"/>
        <w:rPr>
          <w:rFonts w:ascii="Arial" w:hAnsi="Arial" w:cs="Arial"/>
          <w:b/>
          <w:sz w:val="28"/>
          <w:szCs w:val="28"/>
          <w:u w:val="single"/>
        </w:rPr>
      </w:pPr>
      <w:r w:rsidRPr="0059618B">
        <w:rPr>
          <w:rFonts w:ascii="Arial" w:hAnsi="Arial" w:cs="Arial"/>
          <w:b/>
          <w:sz w:val="28"/>
          <w:szCs w:val="28"/>
          <w:u w:val="single"/>
        </w:rPr>
        <w:t>Monthly</w:t>
      </w:r>
    </w:p>
    <w:p w:rsidR="00F72829" w:rsidRPr="00613E70" w:rsidRDefault="00501F69" w:rsidP="00B65AF1">
      <w:pPr>
        <w:autoSpaceDE w:val="0"/>
        <w:ind w:left="-283"/>
        <w:jc w:val="both"/>
        <w:rPr>
          <w:rFonts w:ascii="Arial" w:hAnsi="Arial" w:cs="Arial"/>
          <w:b/>
          <w:sz w:val="28"/>
          <w:szCs w:val="28"/>
          <w:u w:val="single"/>
        </w:rPr>
      </w:pPr>
      <w:r>
        <w:rPr>
          <w:rFonts w:ascii="Arial" w:hAnsi="Arial" w:cs="Arial"/>
          <w:b/>
          <w:noProof/>
          <w:sz w:val="28"/>
          <w:szCs w:val="28"/>
          <w:u w:val="single"/>
        </w:rPr>
        <w:drawing>
          <wp:inline distT="0" distB="0" distL="0" distR="0">
            <wp:extent cx="6645467" cy="4285324"/>
            <wp:effectExtent l="0" t="0" r="3175" b="1270"/>
            <wp:docPr id="5" name="Image 5" descr="C:\Temp\Bloomberg\temp\bfm77B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Bloomberg\temp\bfm77B3.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9887" cy="4288174"/>
                    </a:xfrm>
                    <a:prstGeom prst="rect">
                      <a:avLst/>
                    </a:prstGeom>
                    <a:noFill/>
                    <a:ln>
                      <a:noFill/>
                    </a:ln>
                  </pic:spPr>
                </pic:pic>
              </a:graphicData>
            </a:graphic>
          </wp:inline>
        </w:drawing>
      </w:r>
    </w:p>
    <w:p w:rsidR="00F72829" w:rsidRPr="00613E70" w:rsidRDefault="00F72829" w:rsidP="00F72829">
      <w:pPr>
        <w:autoSpaceDE w:val="0"/>
        <w:jc w:val="both"/>
        <w:rPr>
          <w:rFonts w:ascii="Arial" w:hAnsi="Arial" w:cs="Arial"/>
          <w:b/>
          <w:sz w:val="28"/>
          <w:szCs w:val="28"/>
          <w:u w:val="single"/>
        </w:rPr>
      </w:pPr>
      <w:r w:rsidRPr="00613E70">
        <w:rPr>
          <w:rFonts w:ascii="Arial" w:hAnsi="Arial" w:cs="Arial"/>
          <w:b/>
          <w:sz w:val="28"/>
          <w:szCs w:val="28"/>
          <w:u w:val="single"/>
        </w:rPr>
        <w:t>Weekly</w:t>
      </w:r>
    </w:p>
    <w:p w:rsidR="000D4E0C" w:rsidRPr="00613E70" w:rsidRDefault="00501F69" w:rsidP="00B23A4D">
      <w:pPr>
        <w:autoSpaceDE w:val="0"/>
        <w:ind w:left="-283"/>
        <w:jc w:val="both"/>
        <w:rPr>
          <w:rFonts w:ascii="Arial" w:hAnsi="Arial" w:cs="Arial"/>
          <w:b/>
          <w:sz w:val="28"/>
          <w:szCs w:val="28"/>
          <w:u w:val="single"/>
        </w:rPr>
      </w:pPr>
      <w:r>
        <w:rPr>
          <w:rFonts w:ascii="Arial" w:hAnsi="Arial" w:cs="Arial"/>
          <w:b/>
          <w:noProof/>
          <w:sz w:val="28"/>
          <w:szCs w:val="28"/>
          <w:u w:val="single"/>
        </w:rPr>
        <w:lastRenderedPageBreak/>
        <w:drawing>
          <wp:inline distT="0" distB="0" distL="0" distR="0">
            <wp:extent cx="6644099" cy="4260610"/>
            <wp:effectExtent l="0" t="0" r="4445" b="6985"/>
            <wp:docPr id="4" name="Image 4" descr="C:\Temp\Bloomberg\temp\bfm24A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Bloomberg\temp\bfm24A4.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52188" cy="4265797"/>
                    </a:xfrm>
                    <a:prstGeom prst="rect">
                      <a:avLst/>
                    </a:prstGeom>
                    <a:noFill/>
                    <a:ln>
                      <a:noFill/>
                    </a:ln>
                  </pic:spPr>
                </pic:pic>
              </a:graphicData>
            </a:graphic>
          </wp:inline>
        </w:drawing>
      </w:r>
    </w:p>
    <w:p w:rsidR="000D4E0C" w:rsidRPr="00613E70" w:rsidRDefault="005E3841" w:rsidP="00B65AF1">
      <w:pPr>
        <w:autoSpaceDE w:val="0"/>
        <w:ind w:left="-851"/>
        <w:jc w:val="both"/>
        <w:rPr>
          <w:rFonts w:ascii="Arial" w:hAnsi="Arial" w:cs="Arial"/>
          <w:b/>
          <w:sz w:val="28"/>
          <w:szCs w:val="28"/>
          <w:u w:val="single"/>
        </w:rPr>
      </w:pPr>
      <w:r w:rsidRPr="00613E70">
        <w:rPr>
          <w:rFonts w:ascii="Arial" w:hAnsi="Arial" w:cs="Arial"/>
          <w:b/>
          <w:sz w:val="28"/>
          <w:szCs w:val="28"/>
        </w:rPr>
        <w:t xml:space="preserve">           </w:t>
      </w:r>
      <w:r w:rsidR="000D4E0C" w:rsidRPr="00613E70">
        <w:rPr>
          <w:rFonts w:ascii="Arial" w:hAnsi="Arial" w:cs="Arial"/>
          <w:b/>
          <w:sz w:val="28"/>
          <w:szCs w:val="28"/>
          <w:u w:val="single"/>
        </w:rPr>
        <w:t>Daily</w:t>
      </w:r>
    </w:p>
    <w:p w:rsidR="000043C9" w:rsidRPr="00613E70" w:rsidRDefault="00501F69" w:rsidP="00FB5FC1">
      <w:pPr>
        <w:autoSpaceDE w:val="0"/>
        <w:ind w:left="-283"/>
        <w:jc w:val="both"/>
        <w:rPr>
          <w:rFonts w:ascii="Arial" w:hAnsi="Arial" w:cs="Arial"/>
          <w:b/>
          <w:sz w:val="28"/>
          <w:szCs w:val="28"/>
          <w:u w:val="single"/>
        </w:rPr>
      </w:pPr>
      <w:r>
        <w:rPr>
          <w:rFonts w:ascii="Arial" w:hAnsi="Arial" w:cs="Arial"/>
          <w:b/>
          <w:noProof/>
          <w:sz w:val="28"/>
          <w:szCs w:val="28"/>
          <w:u w:val="single"/>
        </w:rPr>
        <w:drawing>
          <wp:inline distT="0" distB="0" distL="0" distR="0">
            <wp:extent cx="6644727" cy="4013475"/>
            <wp:effectExtent l="0" t="0" r="3810" b="6350"/>
            <wp:docPr id="3" name="Image 3" descr="C:\Temp\Bloomberg\temp\bfmD4D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Bloomberg\temp\bfmD4DD.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53458" cy="4018748"/>
                    </a:xfrm>
                    <a:prstGeom prst="rect">
                      <a:avLst/>
                    </a:prstGeom>
                    <a:noFill/>
                    <a:ln>
                      <a:noFill/>
                    </a:ln>
                  </pic:spPr>
                </pic:pic>
              </a:graphicData>
            </a:graphic>
          </wp:inline>
        </w:drawing>
      </w:r>
    </w:p>
    <w:p w:rsidR="00A3197D" w:rsidRDefault="00F72829" w:rsidP="008631EB">
      <w:pPr>
        <w:jc w:val="both"/>
        <w:rPr>
          <w:rFonts w:ascii="Tahoma" w:hAnsi="Tahoma" w:cs="Tahoma"/>
        </w:rPr>
      </w:pPr>
      <w:r w:rsidRPr="008631EB">
        <w:rPr>
          <w:rFonts w:ascii="Arial" w:hAnsi="Arial" w:cs="Arial"/>
          <w:b/>
        </w:rPr>
        <w:t>M</w:t>
      </w:r>
      <w:r w:rsidR="00DC3AA6" w:rsidRPr="008631EB">
        <w:rPr>
          <w:rFonts w:ascii="Arial" w:hAnsi="Arial" w:cs="Arial"/>
          <w:b/>
        </w:rPr>
        <w:t xml:space="preserve"> : </w:t>
      </w:r>
      <w:r w:rsidR="003261EE">
        <w:rPr>
          <w:rFonts w:ascii="Tahoma" w:hAnsi="Tahoma" w:cs="Tahoma"/>
        </w:rPr>
        <w:t xml:space="preserve">Le </w:t>
      </w:r>
      <w:r w:rsidR="00A3197D">
        <w:rPr>
          <w:rFonts w:ascii="Tahoma" w:hAnsi="Tahoma" w:cs="Tahoma"/>
        </w:rPr>
        <w:t xml:space="preserve">contexte de </w:t>
      </w:r>
      <w:r w:rsidR="00FA5CAD">
        <w:rPr>
          <w:rFonts w:ascii="Tahoma" w:hAnsi="Tahoma" w:cs="Tahoma"/>
        </w:rPr>
        <w:t>long</w:t>
      </w:r>
      <w:r w:rsidR="00A3197D">
        <w:rPr>
          <w:rFonts w:ascii="Tahoma" w:hAnsi="Tahoma" w:cs="Tahoma"/>
        </w:rPr>
        <w:t xml:space="preserve"> </w:t>
      </w:r>
      <w:r w:rsidR="000043C9">
        <w:rPr>
          <w:rFonts w:ascii="Tahoma" w:hAnsi="Tahoma" w:cs="Tahoma"/>
        </w:rPr>
        <w:t xml:space="preserve">terme est baissier. Le 10 ans </w:t>
      </w:r>
      <w:r w:rsidR="00A3197D">
        <w:rPr>
          <w:rFonts w:ascii="Tahoma" w:hAnsi="Tahoma" w:cs="Tahoma"/>
        </w:rPr>
        <w:t xml:space="preserve">est positionné sous la borne basse de son nuage </w:t>
      </w:r>
      <w:r w:rsidR="00B52897">
        <w:rPr>
          <w:rFonts w:ascii="Tahoma" w:hAnsi="Tahoma" w:cs="Tahoma"/>
        </w:rPr>
        <w:t>et s’y maintien</w:t>
      </w:r>
      <w:r w:rsidR="00580C26">
        <w:rPr>
          <w:rFonts w:ascii="Tahoma" w:hAnsi="Tahoma" w:cs="Tahoma"/>
        </w:rPr>
        <w:t>t</w:t>
      </w:r>
      <w:r w:rsidR="00B52897">
        <w:rPr>
          <w:rFonts w:ascii="Tahoma" w:hAnsi="Tahoma" w:cs="Tahoma"/>
        </w:rPr>
        <w:t>. La</w:t>
      </w:r>
      <w:r w:rsidR="00A3197D">
        <w:rPr>
          <w:rFonts w:ascii="Tahoma" w:hAnsi="Tahoma" w:cs="Tahoma"/>
        </w:rPr>
        <w:t xml:space="preserve"> résistance </w:t>
      </w:r>
      <w:r w:rsidR="00B52897">
        <w:rPr>
          <w:rFonts w:ascii="Tahoma" w:hAnsi="Tahoma" w:cs="Tahoma"/>
        </w:rPr>
        <w:t>restera à</w:t>
      </w:r>
      <w:r w:rsidR="00A3197D">
        <w:rPr>
          <w:rFonts w:ascii="Tahoma" w:hAnsi="Tahoma" w:cs="Tahoma"/>
        </w:rPr>
        <w:t xml:space="preserve"> 0.65</w:t>
      </w:r>
      <w:r w:rsidR="00B52897">
        <w:rPr>
          <w:rFonts w:ascii="Tahoma" w:hAnsi="Tahoma" w:cs="Tahoma"/>
        </w:rPr>
        <w:t xml:space="preserve"> pour le mois de juin</w:t>
      </w:r>
      <w:r w:rsidR="000043C9">
        <w:rPr>
          <w:rFonts w:ascii="Tahoma" w:hAnsi="Tahoma" w:cs="Tahoma"/>
        </w:rPr>
        <w:t>.</w:t>
      </w:r>
    </w:p>
    <w:p w:rsidR="004873C5" w:rsidRDefault="00A3197D" w:rsidP="008631EB">
      <w:pPr>
        <w:jc w:val="both"/>
        <w:rPr>
          <w:rFonts w:ascii="Tahoma" w:hAnsi="Tahoma" w:cs="Tahoma"/>
        </w:rPr>
      </w:pPr>
      <w:r>
        <w:rPr>
          <w:rFonts w:ascii="Tahoma" w:hAnsi="Tahoma" w:cs="Tahoma"/>
        </w:rPr>
        <w:lastRenderedPageBreak/>
        <w:t>Les plats de TS et de KS indiquent que le marché n’est pas en tendance. Cette situation limite la capacité à dépasser les points difficiles.</w:t>
      </w:r>
    </w:p>
    <w:p w:rsidR="004873C5" w:rsidRDefault="00D17E01" w:rsidP="000043C9">
      <w:pPr>
        <w:jc w:val="both"/>
        <w:rPr>
          <w:rFonts w:ascii="Tahoma" w:hAnsi="Tahoma" w:cs="Tahoma"/>
        </w:rPr>
      </w:pPr>
      <w:r>
        <w:rPr>
          <w:rFonts w:ascii="Tahoma" w:hAnsi="Tahoma" w:cs="Tahoma"/>
        </w:rPr>
        <w:t xml:space="preserve">Le </w:t>
      </w:r>
      <w:r w:rsidR="000043C9">
        <w:rPr>
          <w:rFonts w:ascii="Tahoma" w:hAnsi="Tahoma" w:cs="Tahoma"/>
        </w:rPr>
        <w:t>dépassement du plat de TS de 0.54 milit</w:t>
      </w:r>
      <w:r w:rsidR="000341AC">
        <w:rPr>
          <w:rFonts w:ascii="Tahoma" w:hAnsi="Tahoma" w:cs="Tahoma"/>
        </w:rPr>
        <w:t>ait</w:t>
      </w:r>
      <w:r w:rsidR="000043C9">
        <w:rPr>
          <w:rFonts w:ascii="Tahoma" w:hAnsi="Tahoma" w:cs="Tahoma"/>
        </w:rPr>
        <w:t xml:space="preserve"> pour une baisse sur le plat de KS de 0.30.</w:t>
      </w:r>
      <w:r w:rsidR="00B52897">
        <w:rPr>
          <w:rFonts w:ascii="Tahoma" w:hAnsi="Tahoma" w:cs="Tahoma"/>
        </w:rPr>
        <w:t xml:space="preserve"> Malgré un bas à 0.19, la </w:t>
      </w:r>
      <w:r w:rsidR="00654221">
        <w:rPr>
          <w:rFonts w:ascii="Tahoma" w:hAnsi="Tahoma" w:cs="Tahoma"/>
        </w:rPr>
        <w:t>clôture</w:t>
      </w:r>
      <w:r w:rsidR="00B52897">
        <w:rPr>
          <w:rFonts w:ascii="Tahoma" w:hAnsi="Tahoma" w:cs="Tahoma"/>
        </w:rPr>
        <w:t xml:space="preserve"> du mois de mai de 0.34 n’invalide pas ce support.</w:t>
      </w:r>
    </w:p>
    <w:p w:rsidR="00FC2714" w:rsidRDefault="00FC2714" w:rsidP="008631EB">
      <w:pPr>
        <w:jc w:val="both"/>
        <w:rPr>
          <w:rFonts w:ascii="Tahoma" w:hAnsi="Tahoma" w:cs="Tahoma"/>
        </w:rPr>
      </w:pPr>
    </w:p>
    <w:p w:rsidR="001E7C78" w:rsidRDefault="003A1222" w:rsidP="00196168">
      <w:pPr>
        <w:jc w:val="both"/>
        <w:rPr>
          <w:rFonts w:ascii="Tahoma" w:hAnsi="Tahoma" w:cs="Tahoma"/>
        </w:rPr>
      </w:pPr>
      <w:r w:rsidRPr="008631EB">
        <w:rPr>
          <w:rFonts w:ascii="Arial" w:hAnsi="Arial" w:cs="Arial"/>
          <w:b/>
          <w:bCs/>
        </w:rPr>
        <w:t xml:space="preserve">W : </w:t>
      </w:r>
      <w:r w:rsidR="000341AC">
        <w:rPr>
          <w:rFonts w:ascii="Tahoma" w:hAnsi="Tahoma" w:cs="Tahoma"/>
        </w:rPr>
        <w:t>S</w:t>
      </w:r>
      <w:r w:rsidR="00152500">
        <w:rPr>
          <w:rFonts w:ascii="Tahoma" w:hAnsi="Tahoma" w:cs="Tahoma"/>
        </w:rPr>
        <w:t>ur la semaine, l’amplitude de baisse du taux a été forte. Le 10 ans Euro est passé d’un plus haut de 0.46 à un plus bas à 0.19.</w:t>
      </w:r>
    </w:p>
    <w:p w:rsidR="00152500" w:rsidRDefault="00152500" w:rsidP="00196168">
      <w:pPr>
        <w:jc w:val="both"/>
        <w:rPr>
          <w:rFonts w:ascii="Tahoma" w:hAnsi="Tahoma" w:cs="Tahoma"/>
        </w:rPr>
      </w:pPr>
      <w:r>
        <w:rPr>
          <w:rFonts w:ascii="Tahoma" w:hAnsi="Tahoma" w:cs="Tahoma"/>
        </w:rPr>
        <w:t xml:space="preserve">Le plat de SSB de 0.38 a été temporairement cassé mais la </w:t>
      </w:r>
      <w:r w:rsidR="00654221">
        <w:rPr>
          <w:rFonts w:ascii="Tahoma" w:hAnsi="Tahoma" w:cs="Tahoma"/>
        </w:rPr>
        <w:t>clôture</w:t>
      </w:r>
      <w:r>
        <w:rPr>
          <w:rFonts w:ascii="Tahoma" w:hAnsi="Tahoma" w:cs="Tahoma"/>
        </w:rPr>
        <w:t xml:space="preserve"> n’a pas permis de l’invalider. </w:t>
      </w:r>
    </w:p>
    <w:p w:rsidR="00152500" w:rsidRDefault="00152500" w:rsidP="00196168">
      <w:pPr>
        <w:jc w:val="both"/>
        <w:rPr>
          <w:rFonts w:ascii="Tahoma" w:hAnsi="Tahoma" w:cs="Tahoma"/>
        </w:rPr>
      </w:pPr>
      <w:r>
        <w:rPr>
          <w:rFonts w:ascii="Tahoma" w:hAnsi="Tahoma" w:cs="Tahoma"/>
        </w:rPr>
        <w:t xml:space="preserve">Le twist du nuage futur montre un </w:t>
      </w:r>
      <w:r w:rsidR="00654221">
        <w:rPr>
          <w:rFonts w:ascii="Tahoma" w:hAnsi="Tahoma" w:cs="Tahoma"/>
        </w:rPr>
        <w:t>affaiblissement</w:t>
      </w:r>
      <w:r>
        <w:rPr>
          <w:rFonts w:ascii="Tahoma" w:hAnsi="Tahoma" w:cs="Tahoma"/>
        </w:rPr>
        <w:t xml:space="preserve"> de la tendance haussière qui pourrait déboucher sur une consolidation ou un retournement. Dans ce contexte, le plat de 0.38 devra être invalidé par une rupture. Cette cassure devra par la suite être confirmée par un retour de la LS sous son plat de nuage de 0.15.</w:t>
      </w:r>
    </w:p>
    <w:p w:rsidR="00152500" w:rsidRDefault="00654221" w:rsidP="00196168">
      <w:pPr>
        <w:jc w:val="both"/>
        <w:rPr>
          <w:rFonts w:ascii="Tahoma" w:hAnsi="Tahoma" w:cs="Tahoma"/>
        </w:rPr>
      </w:pPr>
      <w:r>
        <w:rPr>
          <w:rFonts w:ascii="Tahoma" w:hAnsi="Tahoma" w:cs="Tahoma"/>
        </w:rPr>
        <w:t>Au-dessus</w:t>
      </w:r>
      <w:r w:rsidR="00152500">
        <w:rPr>
          <w:rFonts w:ascii="Tahoma" w:hAnsi="Tahoma" w:cs="Tahoma"/>
        </w:rPr>
        <w:t xml:space="preserve"> de 0.15, la consolidation sera favorisée.</w:t>
      </w:r>
    </w:p>
    <w:p w:rsidR="00A82504" w:rsidRDefault="00A82504" w:rsidP="008631EB">
      <w:pPr>
        <w:jc w:val="both"/>
        <w:rPr>
          <w:rFonts w:ascii="Tahoma" w:hAnsi="Tahoma" w:cs="Tahoma"/>
        </w:rPr>
      </w:pPr>
    </w:p>
    <w:p w:rsidR="003556EB" w:rsidRDefault="00A82504" w:rsidP="00196168">
      <w:pPr>
        <w:jc w:val="both"/>
        <w:rPr>
          <w:rFonts w:ascii="Tahoma" w:hAnsi="Tahoma" w:cs="Tahoma"/>
        </w:rPr>
      </w:pPr>
      <w:r w:rsidRPr="008631EB">
        <w:rPr>
          <w:rFonts w:ascii="Arial" w:hAnsi="Arial" w:cs="Arial"/>
          <w:b/>
          <w:bCs/>
        </w:rPr>
        <w:t xml:space="preserve">D : </w:t>
      </w:r>
      <w:r w:rsidR="00BE1712">
        <w:rPr>
          <w:rFonts w:ascii="Tahoma" w:hAnsi="Tahoma" w:cs="Tahoma"/>
        </w:rPr>
        <w:t>Changement de contexte sur le court terme où taux et LS se sont positionnés sous leur nuage respectif.</w:t>
      </w:r>
    </w:p>
    <w:p w:rsidR="00BE1712" w:rsidRDefault="00BE1712" w:rsidP="00196168">
      <w:pPr>
        <w:jc w:val="both"/>
        <w:rPr>
          <w:rFonts w:ascii="Tahoma" w:hAnsi="Tahoma" w:cs="Tahoma"/>
        </w:rPr>
      </w:pPr>
      <w:r>
        <w:rPr>
          <w:rFonts w:ascii="Tahoma" w:hAnsi="Tahoma" w:cs="Tahoma"/>
        </w:rPr>
        <w:t>Un début de remise en question de cet environnement passera par un</w:t>
      </w:r>
      <w:r w:rsidR="009B2E21">
        <w:rPr>
          <w:rFonts w:ascii="Tahoma" w:hAnsi="Tahoma" w:cs="Tahoma"/>
        </w:rPr>
        <w:t xml:space="preserve"> retour du marché </w:t>
      </w:r>
      <w:r w:rsidR="00654221">
        <w:rPr>
          <w:rFonts w:ascii="Tahoma" w:hAnsi="Tahoma" w:cs="Tahoma"/>
        </w:rPr>
        <w:t>au-dessus</w:t>
      </w:r>
      <w:r w:rsidR="009B2E21">
        <w:rPr>
          <w:rFonts w:ascii="Tahoma" w:hAnsi="Tahoma" w:cs="Tahoma"/>
        </w:rPr>
        <w:t xml:space="preserve"> de son plat de KS de 0.42. </w:t>
      </w:r>
      <w:r w:rsidR="009D123B">
        <w:rPr>
          <w:rFonts w:ascii="Tahoma" w:hAnsi="Tahoma" w:cs="Tahoma"/>
        </w:rPr>
        <w:t xml:space="preserve">Ce point est renforcé par un </w:t>
      </w:r>
      <w:r w:rsidR="009B2E21">
        <w:rPr>
          <w:rFonts w:ascii="Tahoma" w:hAnsi="Tahoma" w:cs="Tahoma"/>
        </w:rPr>
        <w:t>plat</w:t>
      </w:r>
      <w:r w:rsidR="009D123B">
        <w:rPr>
          <w:rFonts w:ascii="Tahoma" w:hAnsi="Tahoma" w:cs="Tahoma"/>
        </w:rPr>
        <w:t xml:space="preserve"> de nuage futur</w:t>
      </w:r>
      <w:r w:rsidR="009B2E21">
        <w:rPr>
          <w:rFonts w:ascii="Tahoma" w:hAnsi="Tahoma" w:cs="Tahoma"/>
        </w:rPr>
        <w:t>. Il servira de point d’équilibre.</w:t>
      </w:r>
      <w:r w:rsidR="009D123B">
        <w:rPr>
          <w:rFonts w:ascii="Tahoma" w:hAnsi="Tahoma" w:cs="Tahoma"/>
        </w:rPr>
        <w:t xml:space="preserve"> La réduction des craintes au sujet de l’Italie se concrétisera par un dépassement de la KS de 0.42, étape </w:t>
      </w:r>
      <w:r w:rsidR="000341AC">
        <w:rPr>
          <w:rFonts w:ascii="Tahoma" w:hAnsi="Tahoma" w:cs="Tahoma"/>
        </w:rPr>
        <w:t xml:space="preserve">intermédiaire </w:t>
      </w:r>
      <w:r w:rsidR="009D123B">
        <w:rPr>
          <w:rFonts w:ascii="Tahoma" w:hAnsi="Tahoma" w:cs="Tahoma"/>
        </w:rPr>
        <w:t xml:space="preserve">avant un retour sur la résistance de 0.65. </w:t>
      </w:r>
      <w:r>
        <w:rPr>
          <w:rFonts w:ascii="Tahoma" w:hAnsi="Tahoma" w:cs="Tahoma"/>
        </w:rPr>
        <w:t xml:space="preserve"> </w:t>
      </w:r>
    </w:p>
    <w:p w:rsidR="00F72829" w:rsidRPr="00FA5CAD" w:rsidRDefault="00256885" w:rsidP="00F72829">
      <w:pPr>
        <w:jc w:val="both"/>
        <w:rPr>
          <w:rFonts w:ascii="Tahoma" w:hAnsi="Tahoma" w:cs="Tahoma"/>
        </w:rPr>
      </w:pPr>
      <w:r>
        <w:rPr>
          <w:rFonts w:ascii="Tahoma" w:hAnsi="Tahoma" w:cs="Tahoma"/>
        </w:rPr>
        <w:t xml:space="preserve"> </w:t>
      </w:r>
      <w:r w:rsidR="00A82504" w:rsidRPr="008631EB">
        <w:rPr>
          <w:rFonts w:ascii="Tahoma" w:hAnsi="Tahoma" w:cs="Tahoma"/>
          <w:bCs/>
        </w:rPr>
        <w:t xml:space="preserve"> </w:t>
      </w:r>
    </w:p>
    <w:p w:rsidR="005622FD" w:rsidRPr="00B81C31" w:rsidRDefault="00F72829" w:rsidP="00732E1A">
      <w:pPr>
        <w:jc w:val="both"/>
        <w:rPr>
          <w:rFonts w:ascii="Arial" w:hAnsi="Arial" w:cs="Arial"/>
          <w:b/>
          <w:color w:val="00B050"/>
        </w:rPr>
      </w:pPr>
      <w:r w:rsidRPr="00BD3A17">
        <w:rPr>
          <w:rFonts w:ascii="Arial" w:hAnsi="Arial" w:cs="Arial"/>
          <w:b/>
          <w:color w:val="00B050"/>
          <w:u w:val="single"/>
        </w:rPr>
        <w:t>HEBDOMADAIRE</w:t>
      </w:r>
      <w:r w:rsidRPr="00BD3A17">
        <w:rPr>
          <w:rFonts w:ascii="Arial" w:hAnsi="Arial" w:cs="Arial"/>
          <w:b/>
          <w:color w:val="00B050"/>
        </w:rPr>
        <w:t xml:space="preserve"> : </w:t>
      </w:r>
      <w:r w:rsidR="004411EA" w:rsidRPr="00BD3A17">
        <w:rPr>
          <w:rFonts w:ascii="Arial" w:hAnsi="Arial" w:cs="Arial"/>
          <w:b/>
          <w:color w:val="00B050"/>
        </w:rPr>
        <w:t xml:space="preserve">La </w:t>
      </w:r>
      <w:r w:rsidR="00464BA2" w:rsidRPr="00BD3A17">
        <w:rPr>
          <w:rFonts w:ascii="Arial" w:hAnsi="Arial" w:cs="Arial"/>
          <w:b/>
          <w:color w:val="00B050"/>
        </w:rPr>
        <w:t xml:space="preserve">baisse du marché sur 0.19 a ramené le taux </w:t>
      </w:r>
      <w:r w:rsidR="00654221" w:rsidRPr="00BD3A17">
        <w:rPr>
          <w:rFonts w:ascii="Arial" w:hAnsi="Arial" w:cs="Arial"/>
          <w:b/>
          <w:color w:val="00B050"/>
        </w:rPr>
        <w:t>au-dessus</w:t>
      </w:r>
      <w:r w:rsidR="00464BA2" w:rsidRPr="00BD3A17">
        <w:rPr>
          <w:rFonts w:ascii="Arial" w:hAnsi="Arial" w:cs="Arial"/>
          <w:b/>
          <w:color w:val="00B050"/>
        </w:rPr>
        <w:t xml:space="preserve"> de son support de 0.15. </w:t>
      </w:r>
      <w:r w:rsidR="00654221" w:rsidRPr="00BD3A17">
        <w:rPr>
          <w:rFonts w:ascii="Arial" w:hAnsi="Arial" w:cs="Arial"/>
          <w:b/>
          <w:color w:val="00B050"/>
        </w:rPr>
        <w:t>Au-dessus</w:t>
      </w:r>
      <w:r w:rsidR="00464BA2" w:rsidRPr="00BD3A17">
        <w:rPr>
          <w:rFonts w:ascii="Arial" w:hAnsi="Arial" w:cs="Arial"/>
          <w:b/>
          <w:color w:val="00B050"/>
        </w:rPr>
        <w:t xml:space="preserve"> de ce point, le contexte sera neutre à haussier sur le court et le moyen terme. La neutralité dominera sous 0.65. Sur le court terme, la position du taux par rapport à 0.42 permettra d’envisager la hausse ou la baisse sur respectivement 0.65 ou 0.19.</w:t>
      </w:r>
    </w:p>
    <w:p w:rsidR="00E60B59" w:rsidRPr="000D72F9" w:rsidRDefault="003E1B3F" w:rsidP="003952D7">
      <w:pPr>
        <w:jc w:val="both"/>
        <w:rPr>
          <w:rFonts w:ascii="Arial" w:hAnsi="Arial" w:cs="Arial"/>
          <w:b/>
          <w:bCs/>
          <w:sz w:val="36"/>
          <w:szCs w:val="36"/>
          <w:u w:val="single"/>
          <w:lang w:val="en-US"/>
        </w:rPr>
      </w:pPr>
      <w:r w:rsidRPr="00464BA2">
        <w:rPr>
          <w:rFonts w:ascii="Arial" w:hAnsi="Arial" w:cs="Arial"/>
          <w:b/>
          <w:color w:val="FF0000"/>
        </w:rPr>
        <w:t xml:space="preserve">                                          </w:t>
      </w:r>
      <w:r w:rsidRPr="000D72F9">
        <w:rPr>
          <w:rFonts w:ascii="Arial" w:hAnsi="Arial" w:cs="Arial"/>
          <w:b/>
          <w:bCs/>
          <w:sz w:val="36"/>
          <w:szCs w:val="36"/>
          <w:u w:val="single"/>
          <w:lang w:val="en-US"/>
        </w:rPr>
        <w:t>BUND</w:t>
      </w:r>
      <w:r w:rsidR="00E60B59" w:rsidRPr="000D72F9">
        <w:rPr>
          <w:rFonts w:ascii="Arial" w:hAnsi="Arial" w:cs="Arial"/>
          <w:b/>
          <w:bCs/>
          <w:sz w:val="36"/>
          <w:szCs w:val="36"/>
          <w:u w:val="single"/>
          <w:lang w:val="en-US"/>
        </w:rPr>
        <w:t xml:space="preserve">   (week)</w:t>
      </w:r>
    </w:p>
    <w:p w:rsidR="00BA1E3D" w:rsidRPr="000D72F9" w:rsidRDefault="00BA1E3D" w:rsidP="003952D7">
      <w:pPr>
        <w:jc w:val="both"/>
        <w:rPr>
          <w:rFonts w:ascii="Arial" w:hAnsi="Arial" w:cs="Arial"/>
          <w:b/>
          <w:bCs/>
          <w:sz w:val="36"/>
          <w:szCs w:val="36"/>
          <w:u w:val="single"/>
          <w:lang w:val="en-US"/>
        </w:rPr>
      </w:pPr>
    </w:p>
    <w:p w:rsidR="00BA1E3D" w:rsidRPr="000D72F9" w:rsidRDefault="00613E70" w:rsidP="003952D7">
      <w:pPr>
        <w:jc w:val="both"/>
        <w:rPr>
          <w:rFonts w:ascii="Arial" w:hAnsi="Arial" w:cs="Arial"/>
          <w:b/>
          <w:bCs/>
          <w:sz w:val="36"/>
          <w:szCs w:val="36"/>
          <w:u w:val="single"/>
          <w:lang w:val="en-US"/>
        </w:rPr>
      </w:pPr>
      <w:r>
        <w:rPr>
          <w:noProof/>
        </w:rPr>
        <w:lastRenderedPageBreak/>
        <w:drawing>
          <wp:inline distT="0" distB="0" distL="0" distR="0" wp14:anchorId="291F45FD" wp14:editId="437D6DD7">
            <wp:extent cx="6645910" cy="5306060"/>
            <wp:effectExtent l="0" t="0" r="2540" b="889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5306060"/>
                    </a:xfrm>
                    <a:prstGeom prst="rect">
                      <a:avLst/>
                    </a:prstGeom>
                  </pic:spPr>
                </pic:pic>
              </a:graphicData>
            </a:graphic>
          </wp:inline>
        </w:drawing>
      </w:r>
    </w:p>
    <w:p w:rsidR="003E1B3F" w:rsidRPr="000D72F9" w:rsidRDefault="003E1B3F" w:rsidP="003952D7">
      <w:pPr>
        <w:jc w:val="both"/>
        <w:rPr>
          <w:rFonts w:ascii="Arial" w:hAnsi="Arial" w:cs="Arial"/>
          <w:b/>
          <w:color w:val="FF0000"/>
          <w:lang w:val="en-US"/>
        </w:rPr>
      </w:pPr>
    </w:p>
    <w:p w:rsidR="003E1B3F" w:rsidRPr="000D72F9" w:rsidRDefault="003E1B3F" w:rsidP="003952D7">
      <w:pPr>
        <w:jc w:val="both"/>
        <w:rPr>
          <w:rFonts w:ascii="Arial" w:hAnsi="Arial" w:cs="Arial"/>
          <w:b/>
          <w:color w:val="FF0000"/>
          <w:lang w:val="en-US"/>
        </w:rPr>
      </w:pPr>
    </w:p>
    <w:p w:rsidR="00BD3A17" w:rsidRDefault="00DE7494" w:rsidP="00196168">
      <w:pPr>
        <w:jc w:val="both"/>
        <w:rPr>
          <w:rFonts w:ascii="Tahoma" w:hAnsi="Tahoma" w:cs="Tahoma"/>
        </w:rPr>
      </w:pPr>
      <w:r w:rsidRPr="0059618B">
        <w:rPr>
          <w:rFonts w:ascii="Tahoma" w:hAnsi="Tahoma" w:cs="Tahoma"/>
        </w:rPr>
        <w:t>- La</w:t>
      </w:r>
      <w:r w:rsidR="00BD3A17">
        <w:rPr>
          <w:rFonts w:ascii="Tahoma" w:hAnsi="Tahoma" w:cs="Tahoma"/>
        </w:rPr>
        <w:t xml:space="preserve"> longue mèche du dernier chandelier reprend les caractéristiques de l’étoile filante. </w:t>
      </w:r>
    </w:p>
    <w:p w:rsidR="00BD3A17" w:rsidRDefault="00BD3A17" w:rsidP="00196168">
      <w:pPr>
        <w:jc w:val="both"/>
        <w:rPr>
          <w:rFonts w:ascii="Tahoma" w:hAnsi="Tahoma" w:cs="Tahoma"/>
        </w:rPr>
      </w:pPr>
    </w:p>
    <w:p w:rsidR="00D3102B" w:rsidRDefault="00BD3A17" w:rsidP="00196168">
      <w:pPr>
        <w:jc w:val="both"/>
        <w:rPr>
          <w:rFonts w:ascii="Tahoma" w:hAnsi="Tahoma" w:cs="Tahoma"/>
        </w:rPr>
      </w:pPr>
      <w:r>
        <w:rPr>
          <w:rFonts w:ascii="Tahoma" w:hAnsi="Tahoma" w:cs="Tahoma"/>
        </w:rPr>
        <w:t>- L’étoile filante est une bougie d’alerte qui indique que la poursuite de la hausse n’a pas fait l’unanimité. Ici c’est plutôt la recherche de la sécurité et l’apaisement de certaines craintes sur la future politique italienne qui explique l’action des prix.</w:t>
      </w:r>
    </w:p>
    <w:p w:rsidR="00BD3A17" w:rsidRDefault="00BD3A17" w:rsidP="00196168">
      <w:pPr>
        <w:jc w:val="both"/>
        <w:rPr>
          <w:rFonts w:ascii="Tahoma" w:hAnsi="Tahoma" w:cs="Tahoma"/>
        </w:rPr>
      </w:pPr>
    </w:p>
    <w:p w:rsidR="00BD3A17" w:rsidRDefault="00BD3A17" w:rsidP="00196168">
      <w:pPr>
        <w:jc w:val="both"/>
        <w:rPr>
          <w:rFonts w:ascii="Tahoma" w:hAnsi="Tahoma" w:cs="Tahoma"/>
        </w:rPr>
      </w:pPr>
      <w:r>
        <w:rPr>
          <w:rFonts w:ascii="Tahoma" w:hAnsi="Tahoma" w:cs="Tahoma"/>
        </w:rPr>
        <w:t xml:space="preserve">- Les prix sont revenus </w:t>
      </w:r>
      <w:r w:rsidR="00654221">
        <w:rPr>
          <w:rFonts w:ascii="Tahoma" w:hAnsi="Tahoma" w:cs="Tahoma"/>
        </w:rPr>
        <w:t>clôturer</w:t>
      </w:r>
      <w:r>
        <w:rPr>
          <w:rFonts w:ascii="Tahoma" w:hAnsi="Tahoma" w:cs="Tahoma"/>
        </w:rPr>
        <w:t xml:space="preserve"> sur un niveau proche de la résistance de 161.12. Ce point nous servira </w:t>
      </w:r>
      <w:r w:rsidR="000341AC">
        <w:rPr>
          <w:rFonts w:ascii="Tahoma" w:hAnsi="Tahoma" w:cs="Tahoma"/>
        </w:rPr>
        <w:t>d’alerte</w:t>
      </w:r>
      <w:r>
        <w:rPr>
          <w:rFonts w:ascii="Tahoma" w:hAnsi="Tahoma" w:cs="Tahoma"/>
        </w:rPr>
        <w:t xml:space="preserve"> pour la semaine.</w:t>
      </w:r>
    </w:p>
    <w:p w:rsidR="00BD3A17" w:rsidRDefault="00BD3A17" w:rsidP="00196168">
      <w:pPr>
        <w:jc w:val="both"/>
        <w:rPr>
          <w:rFonts w:ascii="Tahoma" w:hAnsi="Tahoma" w:cs="Tahoma"/>
        </w:rPr>
      </w:pPr>
    </w:p>
    <w:p w:rsidR="00BD3A17" w:rsidRPr="0059618B" w:rsidRDefault="00BD3A17" w:rsidP="00196168">
      <w:pPr>
        <w:jc w:val="both"/>
        <w:rPr>
          <w:rFonts w:ascii="Tahoma" w:hAnsi="Tahoma" w:cs="Tahoma"/>
        </w:rPr>
      </w:pPr>
      <w:r>
        <w:rPr>
          <w:rFonts w:ascii="Tahoma" w:hAnsi="Tahoma" w:cs="Tahoma"/>
        </w:rPr>
        <w:t>- Un maintien sous 161.12 aura pour première cible le plat de TS de 160.79. En rupture les prix se dirigeront sur le plat de KS de 159.17.</w:t>
      </w:r>
    </w:p>
    <w:p w:rsidR="005A5601" w:rsidRPr="0059618B" w:rsidRDefault="005A5601" w:rsidP="00AB20FB">
      <w:pPr>
        <w:jc w:val="both"/>
        <w:rPr>
          <w:rFonts w:ascii="Tahoma" w:hAnsi="Tahoma" w:cs="Tahoma"/>
        </w:rPr>
      </w:pPr>
    </w:p>
    <w:p w:rsidR="005A5601" w:rsidRPr="0059618B" w:rsidRDefault="005A5601" w:rsidP="00AB20FB">
      <w:pPr>
        <w:jc w:val="both"/>
        <w:rPr>
          <w:rFonts w:ascii="Tahoma" w:hAnsi="Tahoma" w:cs="Tahoma"/>
        </w:rPr>
      </w:pPr>
    </w:p>
    <w:p w:rsidR="005A5601" w:rsidRPr="0059618B" w:rsidRDefault="005A5601" w:rsidP="00AB20FB">
      <w:pPr>
        <w:jc w:val="both"/>
        <w:rPr>
          <w:rFonts w:ascii="Tahoma" w:hAnsi="Tahoma" w:cs="Tahoma"/>
        </w:rPr>
      </w:pPr>
    </w:p>
    <w:p w:rsidR="005A5601" w:rsidRDefault="005A5601" w:rsidP="00AB20FB">
      <w:pPr>
        <w:jc w:val="both"/>
        <w:rPr>
          <w:rFonts w:ascii="Tahoma" w:hAnsi="Tahoma" w:cs="Tahoma"/>
        </w:rPr>
      </w:pPr>
    </w:p>
    <w:p w:rsidR="005622FD" w:rsidRPr="0059618B" w:rsidRDefault="005622FD" w:rsidP="00AB20FB">
      <w:pPr>
        <w:jc w:val="both"/>
        <w:rPr>
          <w:rFonts w:ascii="Tahoma" w:hAnsi="Tahoma" w:cs="Tahoma"/>
        </w:rPr>
      </w:pPr>
    </w:p>
    <w:p w:rsidR="00875D08" w:rsidRPr="0059618B" w:rsidRDefault="00875D08" w:rsidP="00AB20FB">
      <w:pPr>
        <w:jc w:val="both"/>
        <w:rPr>
          <w:rFonts w:ascii="Tahoma" w:hAnsi="Tahoma" w:cs="Tahoma"/>
        </w:rPr>
      </w:pPr>
    </w:p>
    <w:p w:rsidR="00E60B59" w:rsidRPr="0059618B" w:rsidRDefault="00B35DBD" w:rsidP="003952D7">
      <w:pPr>
        <w:jc w:val="both"/>
        <w:rPr>
          <w:rFonts w:ascii="Arial" w:hAnsi="Arial" w:cs="Arial"/>
          <w:b/>
          <w:bCs/>
          <w:sz w:val="36"/>
          <w:szCs w:val="36"/>
          <w:u w:val="single"/>
        </w:rPr>
      </w:pPr>
      <w:r w:rsidRPr="0059618B">
        <w:rPr>
          <w:rFonts w:ascii="Tahoma" w:hAnsi="Tahoma" w:cs="Tahoma"/>
        </w:rPr>
        <w:t xml:space="preserve">                                       </w:t>
      </w:r>
      <w:r w:rsidRPr="0059618B">
        <w:rPr>
          <w:rFonts w:ascii="Arial" w:hAnsi="Arial" w:cs="Arial"/>
          <w:b/>
          <w:bCs/>
          <w:sz w:val="36"/>
          <w:szCs w:val="36"/>
          <w:u w:val="single"/>
        </w:rPr>
        <w:t>BUND   (day)</w:t>
      </w:r>
    </w:p>
    <w:p w:rsidR="00B35DBD" w:rsidRPr="0059618B" w:rsidRDefault="00B35DBD" w:rsidP="003952D7">
      <w:pPr>
        <w:jc w:val="both"/>
        <w:rPr>
          <w:rFonts w:ascii="Tahoma" w:hAnsi="Tahoma" w:cs="Tahoma"/>
        </w:rPr>
      </w:pPr>
    </w:p>
    <w:p w:rsidR="00B35DBD" w:rsidRPr="0059618B" w:rsidRDefault="00B35DBD" w:rsidP="003952D7">
      <w:pPr>
        <w:jc w:val="both"/>
        <w:rPr>
          <w:rFonts w:ascii="Arial" w:hAnsi="Arial" w:cs="Arial"/>
          <w:b/>
          <w:color w:val="FF0000"/>
        </w:rPr>
      </w:pPr>
    </w:p>
    <w:p w:rsidR="00A84247" w:rsidRPr="00613E70" w:rsidRDefault="00613E70" w:rsidP="003952D7">
      <w:pPr>
        <w:jc w:val="both"/>
        <w:rPr>
          <w:rFonts w:ascii="Arial" w:hAnsi="Arial" w:cs="Arial"/>
          <w:b/>
        </w:rPr>
      </w:pPr>
      <w:r>
        <w:rPr>
          <w:noProof/>
        </w:rPr>
        <w:drawing>
          <wp:inline distT="0" distB="0" distL="0" distR="0" wp14:anchorId="2AEFBA9F" wp14:editId="74D01826">
            <wp:extent cx="6645910" cy="5306060"/>
            <wp:effectExtent l="0" t="0" r="2540"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5306060"/>
                    </a:xfrm>
                    <a:prstGeom prst="rect">
                      <a:avLst/>
                    </a:prstGeom>
                  </pic:spPr>
                </pic:pic>
              </a:graphicData>
            </a:graphic>
          </wp:inline>
        </w:drawing>
      </w:r>
    </w:p>
    <w:p w:rsidR="00B35DBD" w:rsidRPr="00613E70" w:rsidRDefault="00B35DBD" w:rsidP="003952D7">
      <w:pPr>
        <w:jc w:val="both"/>
        <w:rPr>
          <w:rFonts w:ascii="Arial" w:hAnsi="Arial" w:cs="Arial"/>
          <w:b/>
          <w:color w:val="FF0000"/>
        </w:rPr>
      </w:pPr>
    </w:p>
    <w:p w:rsidR="001929A4" w:rsidRDefault="003C27DA" w:rsidP="00196168">
      <w:pPr>
        <w:jc w:val="both"/>
        <w:rPr>
          <w:rFonts w:ascii="Tahoma" w:hAnsi="Tahoma" w:cs="Tahoma"/>
        </w:rPr>
      </w:pPr>
      <w:r w:rsidRPr="00763578">
        <w:rPr>
          <w:rFonts w:ascii="Tahoma" w:hAnsi="Tahoma" w:cs="Tahoma"/>
        </w:rPr>
        <w:t xml:space="preserve">- </w:t>
      </w:r>
      <w:r w:rsidR="00141BFC" w:rsidRPr="00763578">
        <w:rPr>
          <w:rFonts w:ascii="Tahoma" w:hAnsi="Tahoma" w:cs="Tahoma"/>
        </w:rPr>
        <w:t>L</w:t>
      </w:r>
      <w:r w:rsidR="00763578" w:rsidRPr="00763578">
        <w:rPr>
          <w:rFonts w:ascii="Tahoma" w:hAnsi="Tahoma" w:cs="Tahoma"/>
        </w:rPr>
        <w:t>’hésitation d</w:t>
      </w:r>
      <w:r w:rsidR="00763578">
        <w:rPr>
          <w:rFonts w:ascii="Tahoma" w:hAnsi="Tahoma" w:cs="Tahoma"/>
        </w:rPr>
        <w:t>omine dans un environnement qui reste toujours favorable à la hausse.</w:t>
      </w:r>
    </w:p>
    <w:p w:rsidR="00763578" w:rsidRDefault="00763578" w:rsidP="00196168">
      <w:pPr>
        <w:jc w:val="both"/>
        <w:rPr>
          <w:rFonts w:ascii="Tahoma" w:hAnsi="Tahoma" w:cs="Tahoma"/>
        </w:rPr>
      </w:pPr>
    </w:p>
    <w:p w:rsidR="00763578" w:rsidRDefault="00763578" w:rsidP="00196168">
      <w:pPr>
        <w:jc w:val="both"/>
        <w:rPr>
          <w:rFonts w:ascii="Tahoma" w:hAnsi="Tahoma" w:cs="Tahoma"/>
        </w:rPr>
      </w:pPr>
      <w:r>
        <w:rPr>
          <w:rFonts w:ascii="Tahoma" w:hAnsi="Tahoma" w:cs="Tahoma"/>
        </w:rPr>
        <w:t xml:space="preserve">- </w:t>
      </w:r>
      <w:r w:rsidR="00695C02">
        <w:rPr>
          <w:rFonts w:ascii="Tahoma" w:hAnsi="Tahoma" w:cs="Tahoma"/>
        </w:rPr>
        <w:t>J</w:t>
      </w:r>
      <w:r w:rsidR="00CC3773">
        <w:rPr>
          <w:rFonts w:ascii="Tahoma" w:hAnsi="Tahoma" w:cs="Tahoma"/>
        </w:rPr>
        <w:t xml:space="preserve">’évoquais en cours de semaine dernière la formation d’un doji fusionné qui indiquait que le marché avait perdu son sens de la direction. Les chandelles de fin de semaine </w:t>
      </w:r>
      <w:r w:rsidR="00E5023D">
        <w:rPr>
          <w:rFonts w:ascii="Tahoma" w:hAnsi="Tahoma" w:cs="Tahoma"/>
        </w:rPr>
        <w:t>confirment cette analyse, avec des chandeliers où les mèches sont dominantes.</w:t>
      </w:r>
    </w:p>
    <w:p w:rsidR="00E5023D" w:rsidRDefault="00E5023D" w:rsidP="00196168">
      <w:pPr>
        <w:jc w:val="both"/>
        <w:rPr>
          <w:rFonts w:ascii="Tahoma" w:hAnsi="Tahoma" w:cs="Tahoma"/>
        </w:rPr>
      </w:pPr>
    </w:p>
    <w:p w:rsidR="00E5023D" w:rsidRPr="00763578" w:rsidRDefault="00E5023D" w:rsidP="00196168">
      <w:pPr>
        <w:jc w:val="both"/>
        <w:rPr>
          <w:rFonts w:ascii="Tahoma" w:hAnsi="Tahoma" w:cs="Tahoma"/>
        </w:rPr>
      </w:pPr>
      <w:r>
        <w:rPr>
          <w:rFonts w:ascii="Tahoma" w:hAnsi="Tahoma" w:cs="Tahoma"/>
        </w:rPr>
        <w:t xml:space="preserve">- En se positionnant sous la TS, les prix trouveront en support la KS sur 160.88. </w:t>
      </w:r>
      <w:r w:rsidR="00382502">
        <w:rPr>
          <w:rFonts w:ascii="Tahoma" w:hAnsi="Tahoma" w:cs="Tahoma"/>
        </w:rPr>
        <w:t>Une cassure offrira au marché un espace pour baisser en direction du nuage</w:t>
      </w:r>
      <w:r w:rsidR="004032E3">
        <w:rPr>
          <w:rFonts w:ascii="Tahoma" w:hAnsi="Tahoma" w:cs="Tahoma"/>
        </w:rPr>
        <w:t xml:space="preserve">, soit la zone des 158.50. </w:t>
      </w:r>
      <w:r w:rsidR="00B45EC1">
        <w:rPr>
          <w:rFonts w:ascii="Tahoma" w:hAnsi="Tahoma" w:cs="Tahoma"/>
        </w:rPr>
        <w:t>Auparavant, le contrat devra s’affranchir de ses supports de moyen terme</w:t>
      </w:r>
      <w:r w:rsidR="00B215B0">
        <w:rPr>
          <w:rFonts w:ascii="Tahoma" w:hAnsi="Tahoma" w:cs="Tahoma"/>
        </w:rPr>
        <w:t xml:space="preserve"> (voir plus haut).</w:t>
      </w:r>
      <w:r w:rsidR="00B45EC1">
        <w:rPr>
          <w:rFonts w:ascii="Tahoma" w:hAnsi="Tahoma" w:cs="Tahoma"/>
        </w:rPr>
        <w:t xml:space="preserve"> </w:t>
      </w:r>
    </w:p>
    <w:p w:rsidR="00E044F2" w:rsidRPr="00763578" w:rsidRDefault="00E044F2" w:rsidP="007A5656">
      <w:pPr>
        <w:jc w:val="both"/>
        <w:rPr>
          <w:rFonts w:ascii="Tahoma" w:hAnsi="Tahoma" w:cs="Tahoma"/>
        </w:rPr>
      </w:pPr>
    </w:p>
    <w:p w:rsidR="00E044F2" w:rsidRPr="00763578" w:rsidRDefault="00E044F2" w:rsidP="007A5656">
      <w:pPr>
        <w:jc w:val="both"/>
        <w:rPr>
          <w:rFonts w:ascii="Tahoma" w:hAnsi="Tahoma" w:cs="Tahoma"/>
        </w:rPr>
      </w:pPr>
    </w:p>
    <w:p w:rsidR="008F40E5" w:rsidRPr="00763578" w:rsidRDefault="008F40E5" w:rsidP="00457643">
      <w:pPr>
        <w:jc w:val="both"/>
        <w:rPr>
          <w:rFonts w:ascii="Tahoma" w:hAnsi="Tahoma" w:cs="Tahoma"/>
        </w:rPr>
      </w:pPr>
    </w:p>
    <w:p w:rsidR="007658F2" w:rsidRPr="00763578" w:rsidRDefault="007658F2" w:rsidP="00457643">
      <w:pPr>
        <w:jc w:val="both"/>
        <w:rPr>
          <w:rFonts w:ascii="Tahoma" w:hAnsi="Tahoma" w:cs="Tahoma"/>
        </w:rPr>
      </w:pPr>
      <w:r w:rsidRPr="00763578">
        <w:rPr>
          <w:rFonts w:ascii="Tahoma" w:hAnsi="Tahoma" w:cs="Tahoma"/>
        </w:rPr>
        <w:t xml:space="preserve"> </w:t>
      </w:r>
    </w:p>
    <w:p w:rsidR="002B4084" w:rsidRPr="00763578" w:rsidRDefault="002B4084" w:rsidP="00F72829">
      <w:pPr>
        <w:jc w:val="both"/>
        <w:rPr>
          <w:rFonts w:ascii="Tahoma" w:hAnsi="Tahoma" w:cs="Tahoma"/>
        </w:rPr>
      </w:pPr>
    </w:p>
    <w:p w:rsidR="00B65AF1" w:rsidRPr="00763578" w:rsidRDefault="00B65AF1" w:rsidP="00F72829">
      <w:pPr>
        <w:jc w:val="both"/>
        <w:rPr>
          <w:rFonts w:ascii="Tahoma" w:hAnsi="Tahoma" w:cs="Tahoma"/>
        </w:rPr>
      </w:pPr>
    </w:p>
    <w:p w:rsidR="00A30EF5" w:rsidRDefault="00A30EF5" w:rsidP="00F72829">
      <w:pPr>
        <w:jc w:val="both"/>
        <w:rPr>
          <w:rFonts w:ascii="Tahoma" w:hAnsi="Tahoma" w:cs="Tahoma"/>
        </w:rPr>
      </w:pPr>
    </w:p>
    <w:p w:rsidR="00B81C31" w:rsidRPr="00763578" w:rsidRDefault="00B81C31" w:rsidP="00F72829">
      <w:pPr>
        <w:jc w:val="both"/>
        <w:rPr>
          <w:rFonts w:ascii="Tahoma" w:hAnsi="Tahoma" w:cs="Tahoma"/>
        </w:rPr>
      </w:pPr>
    </w:p>
    <w:p w:rsidR="00F72829" w:rsidRPr="00763578" w:rsidRDefault="004E02D3" w:rsidP="008F40E5">
      <w:pPr>
        <w:jc w:val="both"/>
        <w:rPr>
          <w:rFonts w:ascii="Arial" w:hAnsi="Arial" w:cs="Arial"/>
          <w:b/>
          <w:bCs/>
          <w:sz w:val="36"/>
          <w:szCs w:val="36"/>
          <w:u w:val="single"/>
        </w:rPr>
      </w:pPr>
      <w:r w:rsidRPr="00763578">
        <w:rPr>
          <w:rFonts w:ascii="Arial" w:hAnsi="Arial" w:cs="Arial"/>
          <w:b/>
          <w:bCs/>
          <w:sz w:val="28"/>
          <w:szCs w:val="28"/>
        </w:rPr>
        <w:t xml:space="preserve"> </w:t>
      </w:r>
      <w:r w:rsidR="00F72829" w:rsidRPr="00763578">
        <w:rPr>
          <w:rFonts w:ascii="Arial" w:hAnsi="Arial" w:cs="Arial"/>
          <w:b/>
          <w:bCs/>
          <w:sz w:val="28"/>
          <w:szCs w:val="28"/>
        </w:rPr>
        <w:t xml:space="preserve">                                     </w:t>
      </w:r>
      <w:r w:rsidR="00F72829" w:rsidRPr="00763578">
        <w:rPr>
          <w:rFonts w:ascii="Arial" w:hAnsi="Arial" w:cs="Arial"/>
          <w:b/>
          <w:bCs/>
          <w:sz w:val="36"/>
          <w:szCs w:val="36"/>
          <w:u w:val="single"/>
        </w:rPr>
        <w:t xml:space="preserve">10 ans USA </w:t>
      </w:r>
    </w:p>
    <w:p w:rsidR="00F72829" w:rsidRPr="00763578" w:rsidRDefault="00F72829" w:rsidP="00BE257A">
      <w:pPr>
        <w:jc w:val="both"/>
        <w:rPr>
          <w:rFonts w:ascii="Arial" w:hAnsi="Arial" w:cs="Arial"/>
          <w:b/>
          <w:sz w:val="28"/>
          <w:szCs w:val="28"/>
          <w:u w:val="single"/>
        </w:rPr>
      </w:pPr>
      <w:r w:rsidRPr="00763578">
        <w:rPr>
          <w:rFonts w:ascii="Arial" w:hAnsi="Arial" w:cs="Arial"/>
          <w:b/>
          <w:sz w:val="28"/>
          <w:szCs w:val="28"/>
          <w:u w:val="single"/>
        </w:rPr>
        <w:t>Monthly</w:t>
      </w:r>
    </w:p>
    <w:p w:rsidR="00B03AED" w:rsidRPr="00501F69" w:rsidRDefault="00F63322" w:rsidP="00B65AF1">
      <w:pPr>
        <w:ind w:left="-283"/>
        <w:jc w:val="both"/>
        <w:rPr>
          <w:rFonts w:ascii="Arial" w:hAnsi="Arial" w:cs="Arial"/>
          <w:b/>
          <w:bCs/>
          <w:sz w:val="28"/>
          <w:szCs w:val="28"/>
          <w:u w:val="single"/>
          <w:lang w:val="en-US"/>
        </w:rPr>
      </w:pPr>
      <w:r>
        <w:rPr>
          <w:rFonts w:ascii="Arial" w:hAnsi="Arial" w:cs="Arial"/>
          <w:b/>
          <w:bCs/>
          <w:noProof/>
          <w:sz w:val="28"/>
          <w:szCs w:val="28"/>
          <w:u w:val="single"/>
        </w:rPr>
        <w:lastRenderedPageBreak/>
        <w:drawing>
          <wp:inline distT="0" distB="0" distL="0" distR="0">
            <wp:extent cx="6645467" cy="4285324"/>
            <wp:effectExtent l="0" t="0" r="3175" b="1270"/>
            <wp:docPr id="7" name="Image 7" descr="C:\Temp\Bloomberg\temp\bfmED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Temp\Bloomberg\temp\bfmED04.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9309" cy="4287801"/>
                    </a:xfrm>
                    <a:prstGeom prst="rect">
                      <a:avLst/>
                    </a:prstGeom>
                    <a:noFill/>
                    <a:ln>
                      <a:noFill/>
                    </a:ln>
                  </pic:spPr>
                </pic:pic>
              </a:graphicData>
            </a:graphic>
          </wp:inline>
        </w:drawing>
      </w:r>
    </w:p>
    <w:p w:rsidR="00B03AED" w:rsidRPr="00501F69" w:rsidRDefault="00B03AED" w:rsidP="006E6472">
      <w:pPr>
        <w:jc w:val="both"/>
        <w:rPr>
          <w:rFonts w:ascii="Arial" w:hAnsi="Arial" w:cs="Arial"/>
          <w:b/>
          <w:bCs/>
          <w:sz w:val="28"/>
          <w:szCs w:val="28"/>
          <w:u w:val="single"/>
          <w:lang w:val="en-US"/>
        </w:rPr>
      </w:pPr>
      <w:r w:rsidRPr="00501F69">
        <w:rPr>
          <w:rFonts w:ascii="Arial" w:hAnsi="Arial" w:cs="Arial"/>
          <w:b/>
          <w:bCs/>
          <w:sz w:val="28"/>
          <w:szCs w:val="28"/>
          <w:u w:val="single"/>
          <w:lang w:val="en-US"/>
        </w:rPr>
        <w:t>Weekly</w:t>
      </w:r>
    </w:p>
    <w:p w:rsidR="006E6472" w:rsidRPr="00501F69" w:rsidRDefault="00F63322" w:rsidP="00B65AF1">
      <w:pPr>
        <w:ind w:left="-283"/>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645467" cy="4305094"/>
            <wp:effectExtent l="0" t="0" r="3175" b="635"/>
            <wp:docPr id="8" name="Image 8" descr="C:\Temp\Bloomberg\temp\bfm2E2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emp\Bloomberg\temp\bfm2E29.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9010" cy="4307389"/>
                    </a:xfrm>
                    <a:prstGeom prst="rect">
                      <a:avLst/>
                    </a:prstGeom>
                    <a:noFill/>
                    <a:ln>
                      <a:noFill/>
                    </a:ln>
                  </pic:spPr>
                </pic:pic>
              </a:graphicData>
            </a:graphic>
          </wp:inline>
        </w:drawing>
      </w:r>
    </w:p>
    <w:p w:rsidR="00B03AED" w:rsidRPr="00501F69" w:rsidRDefault="00A30EF5" w:rsidP="006E6472">
      <w:pPr>
        <w:ind w:left="-850"/>
        <w:jc w:val="both"/>
        <w:rPr>
          <w:rFonts w:ascii="Arial" w:hAnsi="Arial" w:cs="Arial"/>
          <w:b/>
          <w:bCs/>
          <w:sz w:val="28"/>
          <w:szCs w:val="28"/>
          <w:u w:val="single"/>
          <w:lang w:val="en-US"/>
        </w:rPr>
      </w:pPr>
      <w:r w:rsidRPr="00501F69">
        <w:rPr>
          <w:rFonts w:ascii="Arial" w:hAnsi="Arial" w:cs="Arial"/>
          <w:b/>
          <w:bCs/>
          <w:sz w:val="28"/>
          <w:szCs w:val="28"/>
          <w:lang w:val="en-US"/>
        </w:rPr>
        <w:t xml:space="preserve">       </w:t>
      </w:r>
      <w:r w:rsidR="00B4277F" w:rsidRPr="00501F69">
        <w:rPr>
          <w:rFonts w:ascii="Arial" w:hAnsi="Arial" w:cs="Arial"/>
          <w:b/>
          <w:bCs/>
          <w:sz w:val="28"/>
          <w:szCs w:val="28"/>
          <w:lang w:val="en-US"/>
        </w:rPr>
        <w:t xml:space="preserve">   </w:t>
      </w:r>
      <w:r w:rsidR="00B03AED" w:rsidRPr="00501F69">
        <w:rPr>
          <w:rFonts w:ascii="Arial" w:hAnsi="Arial" w:cs="Arial"/>
          <w:b/>
          <w:bCs/>
          <w:sz w:val="28"/>
          <w:szCs w:val="28"/>
          <w:u w:val="single"/>
          <w:lang w:val="en-US"/>
        </w:rPr>
        <w:t xml:space="preserve">Daily </w:t>
      </w:r>
    </w:p>
    <w:p w:rsidR="001A7163" w:rsidRPr="00501F69" w:rsidRDefault="00F63322" w:rsidP="005622FD">
      <w:pPr>
        <w:ind w:left="-283"/>
        <w:jc w:val="both"/>
        <w:rPr>
          <w:rFonts w:ascii="Arial" w:hAnsi="Arial" w:cs="Arial"/>
          <w:b/>
          <w:bCs/>
          <w:sz w:val="28"/>
          <w:szCs w:val="28"/>
          <w:u w:val="single"/>
          <w:lang w:val="en-US"/>
        </w:rPr>
      </w:pPr>
      <w:r>
        <w:rPr>
          <w:rFonts w:ascii="Arial" w:hAnsi="Arial" w:cs="Arial"/>
          <w:b/>
          <w:bCs/>
          <w:noProof/>
          <w:sz w:val="28"/>
          <w:szCs w:val="28"/>
          <w:u w:val="single"/>
        </w:rPr>
        <w:lastRenderedPageBreak/>
        <w:drawing>
          <wp:inline distT="0" distB="0" distL="0" distR="0">
            <wp:extent cx="6643755" cy="3454949"/>
            <wp:effectExtent l="0" t="0" r="5080" b="0"/>
            <wp:docPr id="9" name="Image 9" descr="C:\Temp\Bloomberg\temp\bfm972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Temp\Bloomberg\temp\bfm9729.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67198" cy="3467140"/>
                    </a:xfrm>
                    <a:prstGeom prst="rect">
                      <a:avLst/>
                    </a:prstGeom>
                    <a:noFill/>
                    <a:ln>
                      <a:noFill/>
                    </a:ln>
                  </pic:spPr>
                </pic:pic>
              </a:graphicData>
            </a:graphic>
          </wp:inline>
        </w:drawing>
      </w:r>
    </w:p>
    <w:p w:rsidR="003B75F0" w:rsidRDefault="00D2583B" w:rsidP="00D2583B">
      <w:pPr>
        <w:tabs>
          <w:tab w:val="left" w:pos="5868"/>
        </w:tabs>
        <w:autoSpaceDE w:val="0"/>
        <w:jc w:val="both"/>
        <w:rPr>
          <w:rFonts w:ascii="Tahoma" w:hAnsi="Tahoma" w:cs="Tahoma"/>
        </w:rPr>
      </w:pPr>
      <w:r w:rsidRPr="00D07DCB">
        <w:rPr>
          <w:rFonts w:ascii="Arial" w:hAnsi="Arial" w:cs="Arial"/>
          <w:b/>
          <w:bCs/>
        </w:rPr>
        <w:t>M</w:t>
      </w:r>
      <w:r w:rsidRPr="00D07DCB">
        <w:rPr>
          <w:rFonts w:ascii="Tahoma" w:hAnsi="Tahoma" w:cs="Tahoma"/>
        </w:rPr>
        <w:t xml:space="preserve"> : </w:t>
      </w:r>
      <w:r w:rsidR="003B75F0">
        <w:rPr>
          <w:rFonts w:ascii="Tahoma" w:hAnsi="Tahoma" w:cs="Tahoma"/>
        </w:rPr>
        <w:t xml:space="preserve">Le contexte est haussier sur le long terme et seul un retour de la LS sous 2.69 </w:t>
      </w:r>
      <w:r w:rsidR="004801A4">
        <w:rPr>
          <w:rFonts w:ascii="Tahoma" w:hAnsi="Tahoma" w:cs="Tahoma"/>
        </w:rPr>
        <w:t>nous alertera sur la possibilité de voir le 10 ans US remettre en question cet environnement.</w:t>
      </w:r>
    </w:p>
    <w:p w:rsidR="001A7163" w:rsidRDefault="00D608AD" w:rsidP="001A7163">
      <w:pPr>
        <w:tabs>
          <w:tab w:val="left" w:pos="5868"/>
        </w:tabs>
        <w:autoSpaceDE w:val="0"/>
        <w:jc w:val="both"/>
        <w:rPr>
          <w:rFonts w:ascii="Tahoma" w:hAnsi="Tahoma" w:cs="Tahoma"/>
        </w:rPr>
      </w:pPr>
      <w:r>
        <w:rPr>
          <w:rFonts w:ascii="Tahoma" w:hAnsi="Tahoma" w:cs="Tahoma"/>
        </w:rPr>
        <w:t>Après</w:t>
      </w:r>
      <w:r w:rsidR="00474400">
        <w:rPr>
          <w:rFonts w:ascii="Tahoma" w:hAnsi="Tahoma" w:cs="Tahoma"/>
        </w:rPr>
        <w:t xml:space="preserve"> un haut à 3.12, le </w:t>
      </w:r>
      <w:r w:rsidR="00695C02">
        <w:rPr>
          <w:rFonts w:ascii="Tahoma" w:hAnsi="Tahoma" w:cs="Tahoma"/>
        </w:rPr>
        <w:t>taux</w:t>
      </w:r>
      <w:r w:rsidR="00474400">
        <w:rPr>
          <w:rFonts w:ascii="Tahoma" w:hAnsi="Tahoma" w:cs="Tahoma"/>
        </w:rPr>
        <w:t xml:space="preserve"> a corrigé. Cette correction reste inscrite dans un environnement haussier. Le maintien du marché </w:t>
      </w:r>
      <w:r w:rsidR="00654221">
        <w:rPr>
          <w:rFonts w:ascii="Tahoma" w:hAnsi="Tahoma" w:cs="Tahoma"/>
        </w:rPr>
        <w:t>au-dessus</w:t>
      </w:r>
      <w:r w:rsidR="00474400">
        <w:rPr>
          <w:rFonts w:ascii="Tahoma" w:hAnsi="Tahoma" w:cs="Tahoma"/>
        </w:rPr>
        <w:t xml:space="preserve"> de sa TS </w:t>
      </w:r>
      <w:r w:rsidR="00F61A1D">
        <w:rPr>
          <w:rFonts w:ascii="Tahoma" w:hAnsi="Tahoma" w:cs="Tahoma"/>
        </w:rPr>
        <w:t>permet de garder une vue favorable à la hausse. Cette courbe pourra servir de support. Son point à 2.69 renforcera le support matérialisé par un plat de nuage passé sur le même niveau.</w:t>
      </w:r>
    </w:p>
    <w:p w:rsidR="00D8157E" w:rsidRDefault="00D8157E" w:rsidP="00D2583B">
      <w:pPr>
        <w:tabs>
          <w:tab w:val="left" w:pos="5868"/>
        </w:tabs>
        <w:autoSpaceDE w:val="0"/>
        <w:jc w:val="both"/>
        <w:rPr>
          <w:rFonts w:ascii="Tahoma" w:hAnsi="Tahoma" w:cs="Tahoma"/>
        </w:rPr>
      </w:pPr>
    </w:p>
    <w:p w:rsidR="00EE71A6" w:rsidRDefault="00D2583B" w:rsidP="00196168">
      <w:pPr>
        <w:jc w:val="both"/>
        <w:rPr>
          <w:rFonts w:ascii="Tahoma" w:hAnsi="Tahoma" w:cs="Tahoma"/>
          <w:bCs/>
        </w:rPr>
      </w:pPr>
      <w:bookmarkStart w:id="1" w:name="_Hlk510791573"/>
      <w:r w:rsidRPr="00F950A8">
        <w:rPr>
          <w:rFonts w:ascii="Arial" w:hAnsi="Arial" w:cs="Arial"/>
          <w:b/>
          <w:bCs/>
        </w:rPr>
        <w:t xml:space="preserve">W : </w:t>
      </w:r>
      <w:r w:rsidR="00E866B7">
        <w:rPr>
          <w:rFonts w:ascii="Tahoma" w:hAnsi="Tahoma" w:cs="Tahoma"/>
          <w:bCs/>
        </w:rPr>
        <w:t>L</w:t>
      </w:r>
      <w:r w:rsidR="00432229">
        <w:rPr>
          <w:rFonts w:ascii="Tahoma" w:hAnsi="Tahoma" w:cs="Tahoma"/>
          <w:bCs/>
        </w:rPr>
        <w:t>e contexte reste haussier sur le moyen terme.</w:t>
      </w:r>
      <w:r w:rsidR="00D94E4A">
        <w:rPr>
          <w:rFonts w:ascii="Tahoma" w:hAnsi="Tahoma" w:cs="Tahoma"/>
          <w:bCs/>
        </w:rPr>
        <w:t xml:space="preserve"> En cassure de la </w:t>
      </w:r>
      <w:r w:rsidR="00654221">
        <w:rPr>
          <w:rFonts w:ascii="Tahoma" w:hAnsi="Tahoma" w:cs="Tahoma"/>
          <w:bCs/>
        </w:rPr>
        <w:t>TS de</w:t>
      </w:r>
      <w:r w:rsidR="00D94E4A">
        <w:rPr>
          <w:rFonts w:ascii="Tahoma" w:hAnsi="Tahoma" w:cs="Tahoma"/>
          <w:bCs/>
        </w:rPr>
        <w:t xml:space="preserve"> 2.92, la baisse s’est limitée à la KS soit </w:t>
      </w:r>
      <w:r w:rsidR="00654221">
        <w:rPr>
          <w:rFonts w:ascii="Tahoma" w:hAnsi="Tahoma" w:cs="Tahoma"/>
          <w:bCs/>
        </w:rPr>
        <w:t>respectivement</w:t>
      </w:r>
      <w:r w:rsidR="00D94E4A">
        <w:rPr>
          <w:rFonts w:ascii="Tahoma" w:hAnsi="Tahoma" w:cs="Tahoma"/>
          <w:bCs/>
        </w:rPr>
        <w:t xml:space="preserve"> 2.75 contre 2.72. </w:t>
      </w:r>
    </w:p>
    <w:p w:rsidR="00D94E4A" w:rsidRDefault="00D94E4A" w:rsidP="00196168">
      <w:pPr>
        <w:jc w:val="both"/>
        <w:rPr>
          <w:rFonts w:ascii="Tahoma" w:hAnsi="Tahoma" w:cs="Tahoma"/>
          <w:bCs/>
        </w:rPr>
      </w:pPr>
      <w:r>
        <w:rPr>
          <w:rFonts w:ascii="Tahoma" w:hAnsi="Tahoma" w:cs="Tahoma"/>
          <w:bCs/>
        </w:rPr>
        <w:t xml:space="preserve">Depuis la fin de l’année 2017, les cassures de TS ont toujours été limitées et la KS n’a pas été inquiétée. Un maintien du marché </w:t>
      </w:r>
      <w:r w:rsidR="00654221">
        <w:rPr>
          <w:rFonts w:ascii="Tahoma" w:hAnsi="Tahoma" w:cs="Tahoma"/>
          <w:bCs/>
        </w:rPr>
        <w:t>au-dessus</w:t>
      </w:r>
      <w:r>
        <w:rPr>
          <w:rFonts w:ascii="Tahoma" w:hAnsi="Tahoma" w:cs="Tahoma"/>
          <w:bCs/>
        </w:rPr>
        <w:t xml:space="preserve"> de cette courbe permettra de rester positif et d’envisager une reprise de la hausse.</w:t>
      </w:r>
    </w:p>
    <w:p w:rsidR="00D94E4A" w:rsidRDefault="00D94E4A" w:rsidP="00196168">
      <w:pPr>
        <w:jc w:val="both"/>
        <w:rPr>
          <w:rFonts w:ascii="Tahoma" w:hAnsi="Tahoma" w:cs="Tahoma"/>
          <w:bCs/>
        </w:rPr>
      </w:pPr>
      <w:r>
        <w:rPr>
          <w:rFonts w:ascii="Tahoma" w:hAnsi="Tahoma" w:cs="Tahoma"/>
          <w:bCs/>
        </w:rPr>
        <w:t xml:space="preserve">La KS sera sur 2.73 au cours de la semaine. La TS actuellement sur 2.94 devra être dépassée pour envisager une reprise du mouvement. </w:t>
      </w:r>
    </w:p>
    <w:p w:rsidR="001259C9" w:rsidRPr="00934473" w:rsidRDefault="001259C9" w:rsidP="001259C9">
      <w:pPr>
        <w:jc w:val="both"/>
        <w:rPr>
          <w:rFonts w:ascii="Arial" w:hAnsi="Arial" w:cs="Arial"/>
          <w:b/>
          <w:bCs/>
          <w:sz w:val="28"/>
          <w:szCs w:val="28"/>
          <w:u w:val="single"/>
        </w:rPr>
      </w:pPr>
    </w:p>
    <w:p w:rsidR="00DF4937" w:rsidRDefault="00CF7FF8" w:rsidP="00457643">
      <w:pPr>
        <w:jc w:val="both"/>
        <w:rPr>
          <w:rFonts w:ascii="Tahoma" w:hAnsi="Tahoma" w:cs="Tahoma"/>
          <w:bCs/>
        </w:rPr>
      </w:pPr>
      <w:r w:rsidRPr="00F950A8">
        <w:rPr>
          <w:rFonts w:ascii="Arial" w:hAnsi="Arial" w:cs="Arial"/>
          <w:b/>
          <w:bCs/>
        </w:rPr>
        <w:t xml:space="preserve">D : </w:t>
      </w:r>
      <w:r w:rsidR="00DF4937">
        <w:rPr>
          <w:rFonts w:ascii="Tahoma" w:hAnsi="Tahoma" w:cs="Tahoma"/>
          <w:bCs/>
        </w:rPr>
        <w:t>Après avoir franchi son nuage, le taux est revenu pour terminer la semaine sur sa borne haute.</w:t>
      </w:r>
    </w:p>
    <w:p w:rsidR="002D3EC9" w:rsidRDefault="002B268E" w:rsidP="00457643">
      <w:pPr>
        <w:jc w:val="both"/>
        <w:rPr>
          <w:rFonts w:ascii="Tahoma" w:hAnsi="Tahoma" w:cs="Tahoma"/>
          <w:bCs/>
        </w:rPr>
      </w:pPr>
      <w:r>
        <w:rPr>
          <w:rFonts w:ascii="Tahoma" w:hAnsi="Tahoma" w:cs="Tahoma"/>
          <w:bCs/>
        </w:rPr>
        <w:t xml:space="preserve">La cassure du nuage en semaine avec un bas sur 2.75, </w:t>
      </w:r>
      <w:r w:rsidR="00BB553F">
        <w:rPr>
          <w:rFonts w:ascii="Tahoma" w:hAnsi="Tahoma" w:cs="Tahoma"/>
          <w:bCs/>
        </w:rPr>
        <w:t xml:space="preserve">favorable à un changement de contexte, </w:t>
      </w:r>
      <w:r>
        <w:rPr>
          <w:rFonts w:ascii="Tahoma" w:hAnsi="Tahoma" w:cs="Tahoma"/>
          <w:bCs/>
        </w:rPr>
        <w:t xml:space="preserve">n’a pas été validé par la LS qui s’est maintenu </w:t>
      </w:r>
      <w:r w:rsidR="00654221">
        <w:rPr>
          <w:rFonts w:ascii="Tahoma" w:hAnsi="Tahoma" w:cs="Tahoma"/>
          <w:bCs/>
        </w:rPr>
        <w:t>au-dessus</w:t>
      </w:r>
      <w:r>
        <w:rPr>
          <w:rFonts w:ascii="Tahoma" w:hAnsi="Tahoma" w:cs="Tahoma"/>
          <w:bCs/>
        </w:rPr>
        <w:t xml:space="preserve"> de la borne basse de son nuage de 2.67. </w:t>
      </w:r>
    </w:p>
    <w:p w:rsidR="002B268E" w:rsidRDefault="002B268E" w:rsidP="00457643">
      <w:pPr>
        <w:jc w:val="both"/>
        <w:rPr>
          <w:rFonts w:ascii="Tahoma" w:hAnsi="Tahoma" w:cs="Tahoma"/>
          <w:bCs/>
        </w:rPr>
      </w:pPr>
      <w:r>
        <w:rPr>
          <w:rFonts w:ascii="Tahoma" w:hAnsi="Tahoma" w:cs="Tahoma"/>
          <w:bCs/>
        </w:rPr>
        <w:t>La réduction de l’épaisseur du nuage futur nous indique que la tendance haussière s’est fortement aff</w:t>
      </w:r>
      <w:r w:rsidR="00FA40A9">
        <w:rPr>
          <w:rFonts w:ascii="Tahoma" w:hAnsi="Tahoma" w:cs="Tahoma"/>
          <w:bCs/>
        </w:rPr>
        <w:t>a</w:t>
      </w:r>
      <w:r>
        <w:rPr>
          <w:rFonts w:ascii="Tahoma" w:hAnsi="Tahoma" w:cs="Tahoma"/>
          <w:bCs/>
        </w:rPr>
        <w:t>iblie.</w:t>
      </w:r>
      <w:r w:rsidR="00FA40A9">
        <w:rPr>
          <w:rFonts w:ascii="Tahoma" w:hAnsi="Tahoma" w:cs="Tahoma"/>
          <w:bCs/>
        </w:rPr>
        <w:t xml:space="preserve"> Cet affaiblissement pourrait déboucher sur une </w:t>
      </w:r>
      <w:r w:rsidR="00654221">
        <w:rPr>
          <w:rFonts w:ascii="Tahoma" w:hAnsi="Tahoma" w:cs="Tahoma"/>
          <w:bCs/>
        </w:rPr>
        <w:t>consolidation</w:t>
      </w:r>
      <w:r w:rsidR="00FA40A9">
        <w:rPr>
          <w:rFonts w:ascii="Tahoma" w:hAnsi="Tahoma" w:cs="Tahoma"/>
          <w:bCs/>
        </w:rPr>
        <w:t>.</w:t>
      </w:r>
    </w:p>
    <w:p w:rsidR="00FA40A9" w:rsidRPr="00F950A8" w:rsidRDefault="00FA40A9" w:rsidP="00457643">
      <w:pPr>
        <w:jc w:val="both"/>
        <w:rPr>
          <w:rFonts w:ascii="Tahoma" w:hAnsi="Tahoma" w:cs="Tahoma"/>
          <w:bCs/>
        </w:rPr>
      </w:pPr>
      <w:r>
        <w:rPr>
          <w:rFonts w:ascii="Tahoma" w:hAnsi="Tahoma" w:cs="Tahoma"/>
          <w:bCs/>
        </w:rPr>
        <w:t xml:space="preserve">Pour le moment, la KS </w:t>
      </w:r>
      <w:r w:rsidR="00BB553F">
        <w:rPr>
          <w:rFonts w:ascii="Tahoma" w:hAnsi="Tahoma" w:cs="Tahoma"/>
          <w:bCs/>
        </w:rPr>
        <w:t>plat</w:t>
      </w:r>
      <w:r>
        <w:rPr>
          <w:rFonts w:ascii="Tahoma" w:hAnsi="Tahoma" w:cs="Tahoma"/>
          <w:bCs/>
        </w:rPr>
        <w:t xml:space="preserve"> sur 2.94 servira de résistance ou de support et de force de rappel. Sous 2.94, pour envisager la baisse sur 2.75, le 10 ans US devra s’établir sous le plat de nuage de 2.87. </w:t>
      </w:r>
      <w:r w:rsidR="00654221">
        <w:rPr>
          <w:rFonts w:ascii="Tahoma" w:hAnsi="Tahoma" w:cs="Tahoma"/>
          <w:bCs/>
        </w:rPr>
        <w:t>Au-dessus</w:t>
      </w:r>
      <w:r>
        <w:rPr>
          <w:rFonts w:ascii="Tahoma" w:hAnsi="Tahoma" w:cs="Tahoma"/>
          <w:bCs/>
        </w:rPr>
        <w:t xml:space="preserve"> de 2.94, la LS devra s’installer </w:t>
      </w:r>
      <w:r w:rsidR="00654221">
        <w:rPr>
          <w:rFonts w:ascii="Tahoma" w:hAnsi="Tahoma" w:cs="Tahoma"/>
          <w:bCs/>
        </w:rPr>
        <w:t>au-dessus</w:t>
      </w:r>
      <w:r>
        <w:rPr>
          <w:rFonts w:ascii="Tahoma" w:hAnsi="Tahoma" w:cs="Tahoma"/>
          <w:bCs/>
        </w:rPr>
        <w:t xml:space="preserve"> de la zone de</w:t>
      </w:r>
      <w:r w:rsidR="00D13526">
        <w:rPr>
          <w:rFonts w:ascii="Tahoma" w:hAnsi="Tahoma" w:cs="Tahoma"/>
          <w:bCs/>
        </w:rPr>
        <w:t>s</w:t>
      </w:r>
      <w:r>
        <w:rPr>
          <w:rFonts w:ascii="Tahoma" w:hAnsi="Tahoma" w:cs="Tahoma"/>
          <w:bCs/>
        </w:rPr>
        <w:t xml:space="preserve"> 3.00</w:t>
      </w:r>
      <w:r w:rsidR="00D13526">
        <w:rPr>
          <w:rFonts w:ascii="Tahoma" w:hAnsi="Tahoma" w:cs="Tahoma"/>
          <w:bCs/>
        </w:rPr>
        <w:t xml:space="preserve"> pour s’attendre à un retour sur 3.12.</w:t>
      </w:r>
    </w:p>
    <w:bookmarkEnd w:id="1"/>
    <w:p w:rsidR="0093766C" w:rsidRPr="006E6472" w:rsidRDefault="00CF7FF8" w:rsidP="006E6472">
      <w:pPr>
        <w:jc w:val="both"/>
        <w:rPr>
          <w:rFonts w:ascii="Tahoma" w:hAnsi="Tahoma" w:cs="Tahoma"/>
          <w:bCs/>
        </w:rPr>
      </w:pPr>
      <w:r w:rsidRPr="00F950A8">
        <w:rPr>
          <w:rFonts w:ascii="Tahoma" w:hAnsi="Tahoma" w:cs="Tahoma"/>
          <w:bCs/>
        </w:rPr>
        <w:t xml:space="preserve">  </w:t>
      </w:r>
    </w:p>
    <w:p w:rsidR="00326A93" w:rsidRPr="00F400DC" w:rsidRDefault="00F72829" w:rsidP="003754F3">
      <w:pPr>
        <w:jc w:val="both"/>
        <w:rPr>
          <w:rFonts w:ascii="Arial" w:hAnsi="Arial" w:cs="Arial"/>
          <w:b/>
          <w:color w:val="00B050"/>
        </w:rPr>
      </w:pPr>
      <w:r w:rsidRPr="00F400DC">
        <w:rPr>
          <w:rFonts w:ascii="Arial" w:hAnsi="Arial" w:cs="Arial"/>
          <w:b/>
          <w:color w:val="00B050"/>
          <w:u w:val="single"/>
        </w:rPr>
        <w:t>HEBDOMADAIRE</w:t>
      </w:r>
      <w:r w:rsidRPr="00F400DC">
        <w:rPr>
          <w:rFonts w:ascii="Arial" w:hAnsi="Arial" w:cs="Arial"/>
          <w:b/>
          <w:color w:val="00B050"/>
        </w:rPr>
        <w:t xml:space="preserve"> : </w:t>
      </w:r>
      <w:r w:rsidR="00FC088B" w:rsidRPr="00F400DC">
        <w:rPr>
          <w:rFonts w:ascii="Arial" w:hAnsi="Arial" w:cs="Arial"/>
          <w:b/>
          <w:color w:val="00B050"/>
        </w:rPr>
        <w:t xml:space="preserve">Le </w:t>
      </w:r>
      <w:r w:rsidR="003754F3" w:rsidRPr="00F400DC">
        <w:rPr>
          <w:rFonts w:ascii="Arial" w:hAnsi="Arial" w:cs="Arial"/>
          <w:b/>
          <w:color w:val="00B050"/>
        </w:rPr>
        <w:t>contexte est haussier sur le long terme et le moyen terme. Un chan</w:t>
      </w:r>
      <w:r w:rsidR="00BB553F">
        <w:rPr>
          <w:rFonts w:ascii="Arial" w:hAnsi="Arial" w:cs="Arial"/>
          <w:b/>
          <w:color w:val="00B050"/>
        </w:rPr>
        <w:t>gement passera par la rupture</w:t>
      </w:r>
      <w:r w:rsidR="003754F3" w:rsidRPr="00F400DC">
        <w:rPr>
          <w:rFonts w:ascii="Arial" w:hAnsi="Arial" w:cs="Arial"/>
          <w:b/>
          <w:color w:val="00B050"/>
        </w:rPr>
        <w:t xml:space="preserve"> de 2.69. </w:t>
      </w:r>
    </w:p>
    <w:p w:rsidR="003754F3" w:rsidRPr="00F400DC" w:rsidRDefault="003754F3" w:rsidP="003754F3">
      <w:pPr>
        <w:jc w:val="both"/>
        <w:rPr>
          <w:rFonts w:ascii="Arial" w:hAnsi="Arial" w:cs="Arial"/>
          <w:b/>
          <w:color w:val="00B050"/>
        </w:rPr>
      </w:pPr>
      <w:r w:rsidRPr="00F400DC">
        <w:rPr>
          <w:rFonts w:ascii="Arial" w:hAnsi="Arial" w:cs="Arial"/>
          <w:b/>
          <w:color w:val="00B050"/>
        </w:rPr>
        <w:t>Sur le court terme, on constate un affaiblissement de la tendance haussière qui pourrait déboucher sur une consolidation.</w:t>
      </w:r>
    </w:p>
    <w:p w:rsidR="00E47D77" w:rsidRPr="00F400DC" w:rsidRDefault="00F400DC" w:rsidP="007A5656">
      <w:pPr>
        <w:jc w:val="both"/>
        <w:rPr>
          <w:rFonts w:ascii="Arial" w:hAnsi="Arial" w:cs="Arial"/>
          <w:b/>
          <w:color w:val="00B050"/>
        </w:rPr>
      </w:pPr>
      <w:r w:rsidRPr="00F400DC">
        <w:rPr>
          <w:rFonts w:ascii="Arial" w:hAnsi="Arial" w:cs="Arial"/>
          <w:b/>
          <w:color w:val="00B050"/>
        </w:rPr>
        <w:t>2.94 en pivot pour la semaine.</w:t>
      </w:r>
    </w:p>
    <w:p w:rsidR="00EB3109" w:rsidRPr="003754F3" w:rsidRDefault="00D43DAB" w:rsidP="00D43DAB">
      <w:pPr>
        <w:jc w:val="both"/>
        <w:rPr>
          <w:rFonts w:ascii="Arial" w:hAnsi="Arial" w:cs="Arial"/>
          <w:b/>
          <w:bCs/>
          <w:sz w:val="36"/>
          <w:szCs w:val="36"/>
          <w:u w:val="single"/>
        </w:rPr>
      </w:pPr>
      <w:r w:rsidRPr="00C014A3">
        <w:rPr>
          <w:rFonts w:ascii="Arial" w:hAnsi="Arial" w:cs="Arial"/>
          <w:b/>
          <w:bCs/>
          <w:sz w:val="36"/>
          <w:szCs w:val="36"/>
        </w:rPr>
        <w:lastRenderedPageBreak/>
        <w:t xml:space="preserve">     </w:t>
      </w:r>
      <w:r w:rsidR="00292AF0" w:rsidRPr="00C014A3">
        <w:rPr>
          <w:rFonts w:ascii="Arial" w:hAnsi="Arial" w:cs="Arial"/>
          <w:b/>
          <w:bCs/>
          <w:sz w:val="36"/>
          <w:szCs w:val="36"/>
        </w:rPr>
        <w:t xml:space="preserve">                       </w:t>
      </w:r>
      <w:r w:rsidRPr="00C014A3">
        <w:rPr>
          <w:rFonts w:ascii="Arial" w:hAnsi="Arial" w:cs="Arial"/>
          <w:b/>
          <w:bCs/>
          <w:sz w:val="36"/>
          <w:szCs w:val="36"/>
        </w:rPr>
        <w:t xml:space="preserve"> </w:t>
      </w:r>
      <w:r w:rsidRPr="003754F3">
        <w:rPr>
          <w:rFonts w:ascii="Arial" w:hAnsi="Arial" w:cs="Arial"/>
          <w:b/>
          <w:bCs/>
          <w:sz w:val="36"/>
          <w:szCs w:val="36"/>
          <w:u w:val="single"/>
        </w:rPr>
        <w:t xml:space="preserve">10 ans UK </w:t>
      </w:r>
    </w:p>
    <w:p w:rsidR="006E6472" w:rsidRPr="003754F3" w:rsidRDefault="006E6472" w:rsidP="006E6472">
      <w:pPr>
        <w:jc w:val="both"/>
        <w:rPr>
          <w:rFonts w:ascii="Arial" w:hAnsi="Arial" w:cs="Arial"/>
          <w:b/>
          <w:sz w:val="28"/>
          <w:szCs w:val="28"/>
          <w:u w:val="single"/>
        </w:rPr>
      </w:pPr>
      <w:r w:rsidRPr="003754F3">
        <w:rPr>
          <w:rFonts w:ascii="Arial" w:hAnsi="Arial" w:cs="Arial"/>
          <w:b/>
          <w:sz w:val="28"/>
          <w:szCs w:val="28"/>
          <w:u w:val="single"/>
        </w:rPr>
        <w:t>Monthly</w:t>
      </w:r>
    </w:p>
    <w:p w:rsidR="006E6472" w:rsidRPr="009779FA" w:rsidRDefault="00F63322" w:rsidP="00B65AF1">
      <w:pPr>
        <w:ind w:left="-283"/>
        <w:jc w:val="both"/>
        <w:rPr>
          <w:rFonts w:ascii="Arial" w:hAnsi="Arial" w:cs="Arial"/>
          <w:b/>
          <w:bCs/>
          <w:lang w:val="en-US"/>
        </w:rPr>
      </w:pPr>
      <w:r>
        <w:rPr>
          <w:rFonts w:ascii="Arial" w:hAnsi="Arial" w:cs="Arial"/>
          <w:b/>
          <w:bCs/>
          <w:noProof/>
        </w:rPr>
        <w:drawing>
          <wp:inline distT="0" distB="0" distL="0" distR="0">
            <wp:extent cx="6645467" cy="4181527"/>
            <wp:effectExtent l="0" t="0" r="3175" b="0"/>
            <wp:docPr id="12" name="Image 12" descr="C:\Temp\Bloomberg\temp\bfmA27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Temp\Bloomberg\temp\bfmA275.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50072" cy="4184425"/>
                    </a:xfrm>
                    <a:prstGeom prst="rect">
                      <a:avLst/>
                    </a:prstGeom>
                    <a:noFill/>
                    <a:ln>
                      <a:noFill/>
                    </a:ln>
                  </pic:spPr>
                </pic:pic>
              </a:graphicData>
            </a:graphic>
          </wp:inline>
        </w:drawing>
      </w:r>
    </w:p>
    <w:p w:rsidR="00D43DAB" w:rsidRPr="009779FA" w:rsidRDefault="00D43DAB" w:rsidP="00D43DAB">
      <w:pPr>
        <w:jc w:val="both"/>
        <w:rPr>
          <w:rFonts w:ascii="Arial" w:hAnsi="Arial" w:cs="Arial"/>
          <w:b/>
          <w:bCs/>
          <w:sz w:val="28"/>
          <w:szCs w:val="28"/>
          <w:u w:val="single"/>
          <w:lang w:val="en-US"/>
        </w:rPr>
      </w:pPr>
      <w:r w:rsidRPr="009779FA">
        <w:rPr>
          <w:rFonts w:ascii="Arial" w:hAnsi="Arial" w:cs="Arial"/>
          <w:b/>
          <w:bCs/>
          <w:sz w:val="28"/>
          <w:szCs w:val="28"/>
          <w:u w:val="single"/>
          <w:lang w:val="en-US"/>
        </w:rPr>
        <w:t>Weekly</w:t>
      </w:r>
    </w:p>
    <w:p w:rsidR="00D43DAB" w:rsidRPr="009779FA" w:rsidRDefault="00F63322" w:rsidP="00B65AF1">
      <w:pPr>
        <w:tabs>
          <w:tab w:val="left" w:pos="4395"/>
        </w:tabs>
        <w:ind w:left="-283"/>
        <w:jc w:val="both"/>
        <w:rPr>
          <w:rFonts w:ascii="Arial" w:hAnsi="Arial" w:cs="Arial"/>
          <w:b/>
          <w:bCs/>
          <w:sz w:val="28"/>
          <w:szCs w:val="28"/>
          <w:u w:val="single"/>
          <w:lang w:val="en-US"/>
        </w:rPr>
      </w:pPr>
      <w:r>
        <w:rPr>
          <w:rFonts w:ascii="Arial" w:hAnsi="Arial" w:cs="Arial"/>
          <w:b/>
          <w:bCs/>
          <w:noProof/>
          <w:sz w:val="28"/>
          <w:szCs w:val="28"/>
          <w:u w:val="single"/>
        </w:rPr>
        <w:lastRenderedPageBreak/>
        <w:drawing>
          <wp:inline distT="0" distB="0" distL="0" distR="0">
            <wp:extent cx="6644983" cy="4399005"/>
            <wp:effectExtent l="0" t="0" r="3810" b="1905"/>
            <wp:docPr id="11" name="Image 11" descr="C:\Temp\Bloomberg\temp\bfm55F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Temp\Bloomberg\temp\bfm55F9.b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52517" cy="4403992"/>
                    </a:xfrm>
                    <a:prstGeom prst="rect">
                      <a:avLst/>
                    </a:prstGeom>
                    <a:noFill/>
                    <a:ln>
                      <a:noFill/>
                    </a:ln>
                  </pic:spPr>
                </pic:pic>
              </a:graphicData>
            </a:graphic>
          </wp:inline>
        </w:drawing>
      </w:r>
    </w:p>
    <w:p w:rsidR="006E6472" w:rsidRPr="00B52897" w:rsidRDefault="006E6472" w:rsidP="006E6472">
      <w:pPr>
        <w:jc w:val="both"/>
        <w:rPr>
          <w:rFonts w:ascii="Arial" w:hAnsi="Arial" w:cs="Arial"/>
          <w:b/>
          <w:bCs/>
          <w:sz w:val="28"/>
          <w:szCs w:val="28"/>
          <w:u w:val="single"/>
        </w:rPr>
      </w:pPr>
      <w:r w:rsidRPr="00B52897">
        <w:rPr>
          <w:rFonts w:ascii="Arial" w:hAnsi="Arial" w:cs="Arial"/>
          <w:b/>
          <w:bCs/>
          <w:sz w:val="28"/>
          <w:szCs w:val="28"/>
          <w:u w:val="single"/>
        </w:rPr>
        <w:t xml:space="preserve">Daily </w:t>
      </w:r>
    </w:p>
    <w:p w:rsidR="00332645" w:rsidRPr="00B52897" w:rsidRDefault="00F63322" w:rsidP="00196168">
      <w:pPr>
        <w:jc w:val="both"/>
        <w:rPr>
          <w:rFonts w:ascii="Tahoma" w:hAnsi="Tahoma" w:cs="Tahoma"/>
          <w:bCs/>
        </w:rPr>
      </w:pPr>
      <w:r>
        <w:rPr>
          <w:rFonts w:ascii="Arial" w:hAnsi="Arial" w:cs="Arial"/>
          <w:b/>
          <w:bCs/>
          <w:noProof/>
          <w:sz w:val="28"/>
          <w:szCs w:val="28"/>
          <w:u w:val="single"/>
        </w:rPr>
        <w:drawing>
          <wp:inline distT="0" distB="0" distL="0" distR="0">
            <wp:extent cx="6645467" cy="4033246"/>
            <wp:effectExtent l="0" t="0" r="3175" b="5715"/>
            <wp:docPr id="10" name="Image 10" descr="C:\Temp\Bloomberg\temp\bfmFC8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Temp\Bloomberg\temp\bfmFC83.b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8886" cy="4035321"/>
                    </a:xfrm>
                    <a:prstGeom prst="rect">
                      <a:avLst/>
                    </a:prstGeom>
                    <a:noFill/>
                    <a:ln>
                      <a:noFill/>
                    </a:ln>
                  </pic:spPr>
                </pic:pic>
              </a:graphicData>
            </a:graphic>
          </wp:inline>
        </w:drawing>
      </w:r>
      <w:r w:rsidR="005530C2" w:rsidRPr="00B52897">
        <w:rPr>
          <w:rFonts w:ascii="Arial" w:hAnsi="Arial" w:cs="Arial"/>
          <w:b/>
          <w:bCs/>
        </w:rPr>
        <w:t>M :</w:t>
      </w:r>
      <w:r w:rsidR="005530C2" w:rsidRPr="00B52897">
        <w:rPr>
          <w:rFonts w:ascii="Tahoma" w:hAnsi="Tahoma" w:cs="Tahoma"/>
          <w:bCs/>
        </w:rPr>
        <w:t xml:space="preserve"> </w:t>
      </w:r>
      <w:r w:rsidR="00196168" w:rsidRPr="00B52897">
        <w:rPr>
          <w:rFonts w:ascii="Tahoma" w:hAnsi="Tahoma" w:cs="Tahoma"/>
          <w:bCs/>
        </w:rPr>
        <w:t>L</w:t>
      </w:r>
      <w:r w:rsidR="001900F2">
        <w:rPr>
          <w:rFonts w:ascii="Tahoma" w:hAnsi="Tahoma" w:cs="Tahoma"/>
          <w:bCs/>
        </w:rPr>
        <w:t>e contexte de long terme est baissier.</w:t>
      </w:r>
      <w:r w:rsidR="00597F48">
        <w:rPr>
          <w:rFonts w:ascii="Tahoma" w:hAnsi="Tahoma" w:cs="Tahoma"/>
          <w:bCs/>
        </w:rPr>
        <w:t xml:space="preserve"> Sur cette unité de temps, le marché n’est plus en tendance. </w:t>
      </w:r>
      <w:r w:rsidR="000F565E">
        <w:rPr>
          <w:rFonts w:ascii="Tahoma" w:hAnsi="Tahoma" w:cs="Tahoma"/>
          <w:bCs/>
        </w:rPr>
        <w:t>Dans cet environnement, l</w:t>
      </w:r>
      <w:r w:rsidR="00597F48">
        <w:rPr>
          <w:rFonts w:ascii="Tahoma" w:hAnsi="Tahoma" w:cs="Tahoma"/>
          <w:bCs/>
        </w:rPr>
        <w:t xml:space="preserve">es plats sont des supports ou des résistances solides. La baisse du 10 ans UK a ainsi trouvé en support </w:t>
      </w:r>
      <w:r w:rsidR="00654221">
        <w:rPr>
          <w:rFonts w:ascii="Tahoma" w:hAnsi="Tahoma" w:cs="Tahoma"/>
          <w:bCs/>
        </w:rPr>
        <w:t>le plat</w:t>
      </w:r>
      <w:r w:rsidR="00597F48">
        <w:rPr>
          <w:rFonts w:ascii="Tahoma" w:hAnsi="Tahoma" w:cs="Tahoma"/>
          <w:bCs/>
        </w:rPr>
        <w:t xml:space="preserve"> de KS de 1.09 avant de rebondir.</w:t>
      </w:r>
    </w:p>
    <w:p w:rsidR="00332645" w:rsidRPr="00B52897" w:rsidRDefault="00332645" w:rsidP="001B1B61">
      <w:pPr>
        <w:jc w:val="both"/>
        <w:rPr>
          <w:rFonts w:ascii="Tahoma" w:hAnsi="Tahoma" w:cs="Tahoma"/>
          <w:bCs/>
        </w:rPr>
      </w:pPr>
    </w:p>
    <w:p w:rsidR="0017255A" w:rsidRDefault="00134724" w:rsidP="00196168">
      <w:pPr>
        <w:jc w:val="both"/>
        <w:rPr>
          <w:rFonts w:ascii="Tahoma" w:hAnsi="Tahoma" w:cs="Tahoma"/>
          <w:bCs/>
        </w:rPr>
      </w:pPr>
      <w:r w:rsidRPr="00F950A8">
        <w:rPr>
          <w:rFonts w:ascii="Arial" w:hAnsi="Arial" w:cs="Arial"/>
          <w:b/>
          <w:bCs/>
        </w:rPr>
        <w:t xml:space="preserve">W : </w:t>
      </w:r>
      <w:r w:rsidR="00C35146">
        <w:rPr>
          <w:rFonts w:ascii="Tahoma" w:hAnsi="Tahoma" w:cs="Tahoma"/>
          <w:bCs/>
        </w:rPr>
        <w:t>Malg</w:t>
      </w:r>
      <w:r w:rsidR="00294B9B">
        <w:rPr>
          <w:rFonts w:ascii="Tahoma" w:hAnsi="Tahoma" w:cs="Tahoma"/>
          <w:bCs/>
        </w:rPr>
        <w:t>r</w:t>
      </w:r>
      <w:r w:rsidR="00C35146">
        <w:rPr>
          <w:rFonts w:ascii="Tahoma" w:hAnsi="Tahoma" w:cs="Tahoma"/>
          <w:bCs/>
        </w:rPr>
        <w:t xml:space="preserve">é un bas en semaine sur 1.10, les courbes </w:t>
      </w:r>
      <w:r w:rsidR="000F565E">
        <w:rPr>
          <w:rFonts w:ascii="Tahoma" w:hAnsi="Tahoma" w:cs="Tahoma"/>
          <w:bCs/>
        </w:rPr>
        <w:t>de</w:t>
      </w:r>
      <w:r w:rsidR="00C35146">
        <w:rPr>
          <w:rFonts w:ascii="Tahoma" w:hAnsi="Tahoma" w:cs="Tahoma"/>
          <w:bCs/>
        </w:rPr>
        <w:t xml:space="preserve"> l’analyse Ichimoku sont plates. Elles confirment l’absence de dynamique de mouvement et favorisent la consolidation</w:t>
      </w:r>
      <w:r w:rsidR="00562C92">
        <w:rPr>
          <w:rFonts w:ascii="Tahoma" w:hAnsi="Tahoma" w:cs="Tahoma"/>
          <w:bCs/>
        </w:rPr>
        <w:t xml:space="preserve"> </w:t>
      </w:r>
      <w:r w:rsidR="000F565E">
        <w:rPr>
          <w:rFonts w:ascii="Tahoma" w:hAnsi="Tahoma" w:cs="Tahoma"/>
          <w:bCs/>
        </w:rPr>
        <w:t>ainsi que</w:t>
      </w:r>
      <w:r w:rsidR="00562C92">
        <w:rPr>
          <w:rFonts w:ascii="Tahoma" w:hAnsi="Tahoma" w:cs="Tahoma"/>
          <w:bCs/>
        </w:rPr>
        <w:t xml:space="preserve"> la formation de plats</w:t>
      </w:r>
      <w:r w:rsidR="00C35146">
        <w:rPr>
          <w:rFonts w:ascii="Tahoma" w:hAnsi="Tahoma" w:cs="Tahoma"/>
          <w:bCs/>
        </w:rPr>
        <w:t xml:space="preserve">. </w:t>
      </w:r>
    </w:p>
    <w:p w:rsidR="00C35146" w:rsidRDefault="00C35146" w:rsidP="00196168">
      <w:pPr>
        <w:jc w:val="both"/>
        <w:rPr>
          <w:rFonts w:ascii="Tahoma" w:hAnsi="Tahoma" w:cs="Tahoma"/>
          <w:bCs/>
        </w:rPr>
      </w:pPr>
      <w:r>
        <w:rPr>
          <w:rFonts w:ascii="Tahoma" w:hAnsi="Tahoma" w:cs="Tahoma"/>
          <w:bCs/>
        </w:rPr>
        <w:t xml:space="preserve">Dans ce contexte, </w:t>
      </w:r>
      <w:r w:rsidR="00562C92">
        <w:rPr>
          <w:rFonts w:ascii="Tahoma" w:hAnsi="Tahoma" w:cs="Tahoma"/>
          <w:bCs/>
        </w:rPr>
        <w:t xml:space="preserve">le marché pourra buter sur plusieurs points. La TS renforcée par une SSB future </w:t>
      </w:r>
      <w:r w:rsidR="000F565E">
        <w:rPr>
          <w:rFonts w:ascii="Tahoma" w:hAnsi="Tahoma" w:cs="Tahoma"/>
          <w:bCs/>
        </w:rPr>
        <w:t>à</w:t>
      </w:r>
      <w:r w:rsidR="00562C92">
        <w:rPr>
          <w:rFonts w:ascii="Tahoma" w:hAnsi="Tahoma" w:cs="Tahoma"/>
          <w:bCs/>
        </w:rPr>
        <w:t xml:space="preserve"> 1.33 sera un point important pour la semaine à venir.</w:t>
      </w:r>
      <w:r w:rsidR="00AF7F1E">
        <w:rPr>
          <w:rFonts w:ascii="Tahoma" w:hAnsi="Tahoma" w:cs="Tahoma"/>
          <w:bCs/>
        </w:rPr>
        <w:t xml:space="preserve"> Sous 1.33, le plat de nuage de 1.22 servira de support</w:t>
      </w:r>
      <w:r w:rsidR="00562C92">
        <w:rPr>
          <w:rFonts w:ascii="Tahoma" w:hAnsi="Tahoma" w:cs="Tahoma"/>
          <w:bCs/>
        </w:rPr>
        <w:t xml:space="preserve"> </w:t>
      </w:r>
      <w:r w:rsidR="00AF7F1E">
        <w:rPr>
          <w:rFonts w:ascii="Tahoma" w:hAnsi="Tahoma" w:cs="Tahoma"/>
          <w:bCs/>
        </w:rPr>
        <w:t>avant le bas récent de 1.10 et la bordure basse du nuage de la LS de 1.00.</w:t>
      </w:r>
    </w:p>
    <w:p w:rsidR="00AF7F1E" w:rsidRDefault="00654221" w:rsidP="00196168">
      <w:pPr>
        <w:jc w:val="both"/>
        <w:rPr>
          <w:rFonts w:ascii="Tahoma" w:hAnsi="Tahoma" w:cs="Tahoma"/>
          <w:bCs/>
        </w:rPr>
      </w:pPr>
      <w:r>
        <w:rPr>
          <w:rFonts w:ascii="Tahoma" w:hAnsi="Tahoma" w:cs="Tahoma"/>
          <w:bCs/>
        </w:rPr>
        <w:t>Au-dessus</w:t>
      </w:r>
      <w:r w:rsidR="00AF7F1E">
        <w:rPr>
          <w:rFonts w:ascii="Tahoma" w:hAnsi="Tahoma" w:cs="Tahoma"/>
          <w:bCs/>
        </w:rPr>
        <w:t xml:space="preserve"> de 1.33, le plat de KS sur 1.39 sera le point à dépasser pour envisager un retour sur la zone de résistance de 1.57.</w:t>
      </w:r>
    </w:p>
    <w:p w:rsidR="00592CE7" w:rsidRPr="00E6336C" w:rsidRDefault="004657DD" w:rsidP="00134724">
      <w:pPr>
        <w:jc w:val="both"/>
        <w:rPr>
          <w:rFonts w:ascii="Tahoma" w:hAnsi="Tahoma" w:cs="Tahoma"/>
          <w:bCs/>
        </w:rPr>
      </w:pPr>
      <w:r>
        <w:rPr>
          <w:rFonts w:ascii="Tahoma" w:hAnsi="Tahoma" w:cs="Tahoma"/>
          <w:bCs/>
        </w:rPr>
        <w:t xml:space="preserve"> </w:t>
      </w:r>
    </w:p>
    <w:p w:rsidR="00703DD8" w:rsidRDefault="00134724" w:rsidP="00196168">
      <w:pPr>
        <w:jc w:val="both"/>
        <w:rPr>
          <w:rFonts w:ascii="Tahoma" w:hAnsi="Tahoma" w:cs="Tahoma"/>
          <w:bCs/>
        </w:rPr>
      </w:pPr>
      <w:r w:rsidRPr="00F950A8">
        <w:rPr>
          <w:rFonts w:ascii="Arial" w:hAnsi="Arial" w:cs="Arial"/>
          <w:b/>
          <w:bCs/>
        </w:rPr>
        <w:t xml:space="preserve">D : </w:t>
      </w:r>
      <w:r w:rsidR="00703DD8">
        <w:rPr>
          <w:rFonts w:ascii="Tahoma" w:hAnsi="Tahoma" w:cs="Tahoma"/>
          <w:bCs/>
        </w:rPr>
        <w:t xml:space="preserve">Sur le court terme, le marché a cassé sa zone de dérive latérale comprise entre 1.55 et 1.32. Cette cassure a été suivie par un bas à 1.10 puis d’un rebond en direction de l’ancien support de 1.32. </w:t>
      </w:r>
    </w:p>
    <w:p w:rsidR="00FF1FC8" w:rsidRPr="00F950A8" w:rsidRDefault="00703DD8" w:rsidP="00196168">
      <w:pPr>
        <w:jc w:val="both"/>
        <w:rPr>
          <w:rFonts w:ascii="Tahoma" w:hAnsi="Tahoma" w:cs="Tahoma"/>
          <w:bCs/>
        </w:rPr>
      </w:pPr>
      <w:r>
        <w:rPr>
          <w:rFonts w:ascii="Tahoma" w:hAnsi="Tahoma" w:cs="Tahoma"/>
          <w:bCs/>
        </w:rPr>
        <w:t>Sur cette unité de temps, l’environnement est baissier avec un taux et une LS positionnés s</w:t>
      </w:r>
      <w:r w:rsidR="00FB69C9">
        <w:rPr>
          <w:rFonts w:ascii="Tahoma" w:hAnsi="Tahoma" w:cs="Tahoma"/>
          <w:bCs/>
        </w:rPr>
        <w:t>ous</w:t>
      </w:r>
      <w:r>
        <w:rPr>
          <w:rFonts w:ascii="Tahoma" w:hAnsi="Tahoma" w:cs="Tahoma"/>
          <w:bCs/>
        </w:rPr>
        <w:t xml:space="preserve"> leur nuage. Entre 1.10 et 1.55, la KS restera plate sur 1.33 et servira de point d’équilibre </w:t>
      </w:r>
      <w:r w:rsidR="00294B9B">
        <w:rPr>
          <w:rFonts w:ascii="Tahoma" w:hAnsi="Tahoma" w:cs="Tahoma"/>
          <w:bCs/>
        </w:rPr>
        <w:t>et de force de rappel.</w:t>
      </w:r>
    </w:p>
    <w:p w:rsidR="009435E0" w:rsidRPr="00C955D5" w:rsidRDefault="009435E0" w:rsidP="005530C2">
      <w:pPr>
        <w:jc w:val="both"/>
        <w:rPr>
          <w:rFonts w:ascii="Arial" w:hAnsi="Arial" w:cs="Arial"/>
          <w:color w:val="FF0000"/>
        </w:rPr>
      </w:pPr>
    </w:p>
    <w:p w:rsidR="00623878" w:rsidRPr="00367053" w:rsidRDefault="005530C2" w:rsidP="00CD3972">
      <w:pPr>
        <w:jc w:val="both"/>
        <w:rPr>
          <w:rFonts w:ascii="Arial" w:hAnsi="Arial" w:cs="Arial"/>
          <w:b/>
          <w:color w:val="00B050"/>
        </w:rPr>
      </w:pPr>
      <w:r w:rsidRPr="00367053">
        <w:rPr>
          <w:rFonts w:ascii="Arial" w:hAnsi="Arial" w:cs="Arial"/>
          <w:b/>
          <w:color w:val="00B050"/>
          <w:u w:val="single"/>
        </w:rPr>
        <w:t>HEBDOMADAIRE</w:t>
      </w:r>
      <w:r w:rsidRPr="00367053">
        <w:rPr>
          <w:rFonts w:ascii="Arial" w:hAnsi="Arial" w:cs="Arial"/>
          <w:b/>
          <w:color w:val="00B050"/>
        </w:rPr>
        <w:t xml:space="preserve"> : </w:t>
      </w:r>
      <w:r w:rsidR="00CD3972" w:rsidRPr="00367053">
        <w:rPr>
          <w:rFonts w:ascii="Arial" w:hAnsi="Arial" w:cs="Arial"/>
          <w:b/>
          <w:color w:val="00B050"/>
        </w:rPr>
        <w:t>Les unités de temps les plus longues sont sans tendance</w:t>
      </w:r>
      <w:r w:rsidR="000F565E">
        <w:rPr>
          <w:rFonts w:ascii="Arial" w:hAnsi="Arial" w:cs="Arial"/>
          <w:b/>
          <w:color w:val="00B050"/>
        </w:rPr>
        <w:t>.</w:t>
      </w:r>
      <w:r w:rsidR="00AF02FB" w:rsidRPr="00367053">
        <w:rPr>
          <w:rFonts w:ascii="Arial" w:hAnsi="Arial" w:cs="Arial"/>
          <w:b/>
          <w:color w:val="00B050"/>
        </w:rPr>
        <w:t xml:space="preserve"> </w:t>
      </w:r>
      <w:r w:rsidR="000F565E">
        <w:rPr>
          <w:rFonts w:ascii="Arial" w:hAnsi="Arial" w:cs="Arial"/>
          <w:b/>
          <w:color w:val="00B050"/>
        </w:rPr>
        <w:t>Ce contexte</w:t>
      </w:r>
      <w:r w:rsidR="00AF02FB" w:rsidRPr="00367053">
        <w:rPr>
          <w:rFonts w:ascii="Arial" w:hAnsi="Arial" w:cs="Arial"/>
          <w:b/>
          <w:color w:val="00B050"/>
        </w:rPr>
        <w:t xml:space="preserve"> limite les capacités de rupture des supports et des résistances.</w:t>
      </w:r>
    </w:p>
    <w:p w:rsidR="00367053" w:rsidRPr="00367053" w:rsidRDefault="00367053" w:rsidP="00CD3972">
      <w:pPr>
        <w:jc w:val="both"/>
        <w:rPr>
          <w:rFonts w:ascii="Arial" w:hAnsi="Arial" w:cs="Arial"/>
          <w:b/>
          <w:color w:val="00B050"/>
        </w:rPr>
      </w:pPr>
      <w:r w:rsidRPr="00367053">
        <w:rPr>
          <w:rFonts w:ascii="Arial" w:hAnsi="Arial" w:cs="Arial"/>
          <w:b/>
          <w:color w:val="00B050"/>
        </w:rPr>
        <w:t>Sur le court terme, la KS plate sur 1.33 servira de force de rappel à la hausse ou à la baisse tant que le taux évoluera entre 1.10 et 1.55.</w:t>
      </w:r>
    </w:p>
    <w:p w:rsidR="00367053" w:rsidRPr="00196168" w:rsidRDefault="00367053" w:rsidP="00CD3972">
      <w:pPr>
        <w:jc w:val="both"/>
        <w:rPr>
          <w:rFonts w:ascii="Arial" w:hAnsi="Arial" w:cs="Arial"/>
          <w:b/>
          <w:color w:val="FF0000"/>
        </w:rPr>
      </w:pPr>
    </w:p>
    <w:p w:rsidR="007A5656" w:rsidRDefault="007A5656" w:rsidP="00BE257A">
      <w:pPr>
        <w:jc w:val="both"/>
        <w:rPr>
          <w:rFonts w:ascii="Arial" w:hAnsi="Arial" w:cs="Arial"/>
          <w:b/>
          <w:color w:val="00B050"/>
        </w:rPr>
      </w:pPr>
    </w:p>
    <w:p w:rsidR="00612BDB" w:rsidRDefault="00612BDB" w:rsidP="00BE257A">
      <w:pPr>
        <w:jc w:val="both"/>
        <w:rPr>
          <w:rFonts w:ascii="Arial" w:hAnsi="Arial" w:cs="Arial"/>
          <w:b/>
          <w:color w:val="00B050"/>
        </w:rPr>
      </w:pPr>
    </w:p>
    <w:p w:rsidR="00612BDB" w:rsidRDefault="00612BDB" w:rsidP="00BE257A">
      <w:pPr>
        <w:jc w:val="both"/>
        <w:rPr>
          <w:rFonts w:ascii="Arial" w:hAnsi="Arial" w:cs="Arial"/>
          <w:b/>
          <w:color w:val="00B050"/>
        </w:rPr>
      </w:pPr>
    </w:p>
    <w:p w:rsidR="00DC295E" w:rsidRPr="00AD7F6F" w:rsidRDefault="00F72829" w:rsidP="0035700E">
      <w:pPr>
        <w:jc w:val="both"/>
        <w:rPr>
          <w:rFonts w:ascii="Arial" w:eastAsia="Calibri" w:hAnsi="Arial" w:cs="Arial"/>
          <w:b/>
        </w:rPr>
      </w:pPr>
      <w:r w:rsidRPr="00D43DAB">
        <w:rPr>
          <w:rFonts w:ascii="Arial" w:hAnsi="Arial" w:cs="Arial"/>
          <w:b/>
          <w:bCs/>
          <w:color w:val="FF0000"/>
          <w:sz w:val="28"/>
          <w:szCs w:val="28"/>
        </w:rPr>
        <w:t xml:space="preserve">                         </w:t>
      </w:r>
      <w:r w:rsidR="006D7DCD">
        <w:rPr>
          <w:rFonts w:ascii="Arial" w:hAnsi="Arial" w:cs="Arial"/>
          <w:b/>
          <w:bCs/>
          <w:color w:val="FF0000"/>
          <w:sz w:val="28"/>
          <w:szCs w:val="28"/>
        </w:rPr>
        <w:t xml:space="preserve">         </w:t>
      </w:r>
      <w:bookmarkStart w:id="2" w:name="_GoBack"/>
      <w:bookmarkEnd w:id="0"/>
      <w:bookmarkEnd w:id="2"/>
    </w:p>
    <w:sectPr w:rsidR="00DC295E" w:rsidRPr="00AD7F6F" w:rsidSect="00B65AF1">
      <w:headerReference w:type="even" r:id="rId19"/>
      <w:headerReference w:type="default" r:id="rId20"/>
      <w:footerReference w:type="even" r:id="rId21"/>
      <w:footerReference w:type="default" r:id="rId22"/>
      <w:headerReference w:type="first" r:id="rId23"/>
      <w:footerReference w:type="first" r:id="rId2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69C9" w:rsidRDefault="00FB69C9" w:rsidP="00632EAA">
      <w:r>
        <w:separator/>
      </w:r>
    </w:p>
  </w:endnote>
  <w:endnote w:type="continuationSeparator" w:id="0">
    <w:p w:rsidR="00FB69C9" w:rsidRDefault="00FB69C9"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700E" w:rsidRDefault="0035700E">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8471966"/>
      <w:docPartObj>
        <w:docPartGallery w:val="Page Numbers (Bottom of Page)"/>
        <w:docPartUnique/>
      </w:docPartObj>
    </w:sdtPr>
    <w:sdtEndPr/>
    <w:sdtContent>
      <w:p w:rsidR="00BE3DB5" w:rsidRDefault="00BE3DB5">
        <w:pPr>
          <w:pStyle w:val="Pieddepage"/>
          <w:jc w:val="right"/>
        </w:pPr>
        <w:r>
          <w:fldChar w:fldCharType="begin"/>
        </w:r>
        <w:r>
          <w:instrText>PAGE   \* MERGEFORMAT</w:instrText>
        </w:r>
        <w:r>
          <w:fldChar w:fldCharType="separate"/>
        </w:r>
        <w:r w:rsidR="0035700E">
          <w:rPr>
            <w:noProof/>
          </w:rPr>
          <w:t>10</w:t>
        </w:r>
        <w:r>
          <w:fldChar w:fldCharType="end"/>
        </w:r>
      </w:p>
    </w:sdtContent>
  </w:sdt>
  <w:p w:rsidR="00FB69C9" w:rsidRDefault="0035700E">
    <w:pPr>
      <w:pStyle w:val="Pieddepage"/>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10227945</wp:posOffset>
              </wp:positionV>
              <wp:extent cx="7560310" cy="273050"/>
              <wp:effectExtent l="0" t="0" r="0" b="12700"/>
              <wp:wrapNone/>
              <wp:docPr id="6" name="MSIPCM25474bbd929fd2c6d9b4016b" descr="{&quot;HashCode&quot;:110066269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35700E" w:rsidRPr="0035700E" w:rsidRDefault="0035700E" w:rsidP="0035700E">
                          <w:pPr>
                            <w:rPr>
                              <w:rFonts w:ascii="Calibri" w:hAnsi="Calibri" w:cs="Calibri"/>
                              <w:color w:val="737373"/>
                              <w:sz w:val="16"/>
                            </w:rPr>
                          </w:pPr>
                          <w:r w:rsidRPr="0035700E">
                            <w:rPr>
                              <w:rFonts w:ascii="Calibri" w:hAnsi="Calibri" w:cs="Calibri"/>
                              <w:color w:val="737373"/>
                              <w:sz w:val="16"/>
                            </w:rPr>
                            <w:t>C2 - Internal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25474bbd929fd2c6d9b4016b" o:spid="_x0000_s1026" type="#_x0000_t202" alt="{&quot;HashCode&quot;:110066269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" o:allowincell="f" filled="f" stroked="f" strokeweight=".5pt">
              <v:fill o:detectmouseclick="t"/>
              <v:textbox inset="20pt,0,,0">
                <w:txbxContent>
                  <w:p w:rsidR="0035700E" w:rsidRPr="0035700E" w:rsidRDefault="0035700E" w:rsidP="0035700E">
                    <w:pPr>
                      <w:rPr>
                        <w:rFonts w:ascii="Calibri" w:hAnsi="Calibri" w:cs="Calibri"/>
                        <w:color w:val="737373"/>
                        <w:sz w:val="16"/>
                      </w:rPr>
                    </w:pPr>
                    <w:r w:rsidRPr="0035700E">
                      <w:rPr>
                        <w:rFonts w:ascii="Calibri" w:hAnsi="Calibri" w:cs="Calibri"/>
                        <w:color w:val="737373"/>
                        <w:sz w:val="16"/>
                      </w:rPr>
                      <w:t>C2 - Internal Natixis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700E" w:rsidRDefault="0035700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69C9" w:rsidRDefault="00FB69C9" w:rsidP="00632EAA">
      <w:r>
        <w:separator/>
      </w:r>
    </w:p>
  </w:footnote>
  <w:footnote w:type="continuationSeparator" w:id="0">
    <w:p w:rsidR="00FB69C9" w:rsidRDefault="00FB69C9" w:rsidP="00632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700E" w:rsidRDefault="0035700E">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700E" w:rsidRDefault="0035700E">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700E" w:rsidRDefault="0035700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EAA"/>
    <w:rsid w:val="000043C9"/>
    <w:rsid w:val="00006573"/>
    <w:rsid w:val="00015DE9"/>
    <w:rsid w:val="00024342"/>
    <w:rsid w:val="00031AE3"/>
    <w:rsid w:val="00031D2A"/>
    <w:rsid w:val="000341AC"/>
    <w:rsid w:val="000403B1"/>
    <w:rsid w:val="00040784"/>
    <w:rsid w:val="00040AE9"/>
    <w:rsid w:val="000412FF"/>
    <w:rsid w:val="00041F25"/>
    <w:rsid w:val="0005450A"/>
    <w:rsid w:val="0006167C"/>
    <w:rsid w:val="00063DD8"/>
    <w:rsid w:val="000641C0"/>
    <w:rsid w:val="000679AC"/>
    <w:rsid w:val="00077732"/>
    <w:rsid w:val="00082509"/>
    <w:rsid w:val="000874DF"/>
    <w:rsid w:val="00090B79"/>
    <w:rsid w:val="00093D02"/>
    <w:rsid w:val="0009578D"/>
    <w:rsid w:val="0009601D"/>
    <w:rsid w:val="000A3D69"/>
    <w:rsid w:val="000A4A04"/>
    <w:rsid w:val="000B156B"/>
    <w:rsid w:val="000C5BCC"/>
    <w:rsid w:val="000C702C"/>
    <w:rsid w:val="000D17A4"/>
    <w:rsid w:val="000D21A7"/>
    <w:rsid w:val="000D268A"/>
    <w:rsid w:val="000D4E0C"/>
    <w:rsid w:val="000D6642"/>
    <w:rsid w:val="000D72F9"/>
    <w:rsid w:val="000D7ED2"/>
    <w:rsid w:val="000E4AFF"/>
    <w:rsid w:val="000E52E1"/>
    <w:rsid w:val="000E620B"/>
    <w:rsid w:val="000E65BF"/>
    <w:rsid w:val="000F109D"/>
    <w:rsid w:val="000F565E"/>
    <w:rsid w:val="000F7250"/>
    <w:rsid w:val="00100473"/>
    <w:rsid w:val="00101F48"/>
    <w:rsid w:val="00104E12"/>
    <w:rsid w:val="0010583E"/>
    <w:rsid w:val="00112363"/>
    <w:rsid w:val="001155DC"/>
    <w:rsid w:val="00124CE0"/>
    <w:rsid w:val="0012530F"/>
    <w:rsid w:val="001259C9"/>
    <w:rsid w:val="00134724"/>
    <w:rsid w:val="00141BFC"/>
    <w:rsid w:val="001420E9"/>
    <w:rsid w:val="00145281"/>
    <w:rsid w:val="00151611"/>
    <w:rsid w:val="00151A43"/>
    <w:rsid w:val="00152500"/>
    <w:rsid w:val="00152726"/>
    <w:rsid w:val="001562F5"/>
    <w:rsid w:val="0017044D"/>
    <w:rsid w:val="0017255A"/>
    <w:rsid w:val="00174112"/>
    <w:rsid w:val="00174D90"/>
    <w:rsid w:val="001758CA"/>
    <w:rsid w:val="00175D7D"/>
    <w:rsid w:val="001802ED"/>
    <w:rsid w:val="00181C36"/>
    <w:rsid w:val="001900F2"/>
    <w:rsid w:val="001929A4"/>
    <w:rsid w:val="0019448F"/>
    <w:rsid w:val="0019471F"/>
    <w:rsid w:val="00194BF8"/>
    <w:rsid w:val="00196168"/>
    <w:rsid w:val="001A7163"/>
    <w:rsid w:val="001B1120"/>
    <w:rsid w:val="001B1B61"/>
    <w:rsid w:val="001B313E"/>
    <w:rsid w:val="001C0911"/>
    <w:rsid w:val="001C0A29"/>
    <w:rsid w:val="001C1C7A"/>
    <w:rsid w:val="001C6728"/>
    <w:rsid w:val="001D21C0"/>
    <w:rsid w:val="001D2CFB"/>
    <w:rsid w:val="001E4E26"/>
    <w:rsid w:val="001E7AFE"/>
    <w:rsid w:val="001E7C78"/>
    <w:rsid w:val="001F0E5F"/>
    <w:rsid w:val="001F4F7F"/>
    <w:rsid w:val="002000EA"/>
    <w:rsid w:val="00203583"/>
    <w:rsid w:val="00206C2A"/>
    <w:rsid w:val="002078BB"/>
    <w:rsid w:val="002110BC"/>
    <w:rsid w:val="0021328A"/>
    <w:rsid w:val="00222827"/>
    <w:rsid w:val="002308C6"/>
    <w:rsid w:val="00230B15"/>
    <w:rsid w:val="00233557"/>
    <w:rsid w:val="00235DEB"/>
    <w:rsid w:val="0023751E"/>
    <w:rsid w:val="002506D7"/>
    <w:rsid w:val="002525D8"/>
    <w:rsid w:val="0025315D"/>
    <w:rsid w:val="00254989"/>
    <w:rsid w:val="00256885"/>
    <w:rsid w:val="00260D05"/>
    <w:rsid w:val="002637F2"/>
    <w:rsid w:val="00264CE5"/>
    <w:rsid w:val="00264ECA"/>
    <w:rsid w:val="00273EF1"/>
    <w:rsid w:val="00274AD5"/>
    <w:rsid w:val="00276D92"/>
    <w:rsid w:val="0027748F"/>
    <w:rsid w:val="00281F6C"/>
    <w:rsid w:val="00292AF0"/>
    <w:rsid w:val="00294B9B"/>
    <w:rsid w:val="002A322F"/>
    <w:rsid w:val="002A3CA4"/>
    <w:rsid w:val="002A46CF"/>
    <w:rsid w:val="002A634E"/>
    <w:rsid w:val="002A63D2"/>
    <w:rsid w:val="002B0A38"/>
    <w:rsid w:val="002B268E"/>
    <w:rsid w:val="002B4084"/>
    <w:rsid w:val="002C101E"/>
    <w:rsid w:val="002C2834"/>
    <w:rsid w:val="002C2DC2"/>
    <w:rsid w:val="002C5FAC"/>
    <w:rsid w:val="002D3EC9"/>
    <w:rsid w:val="002E337C"/>
    <w:rsid w:val="002E34FF"/>
    <w:rsid w:val="002E3C88"/>
    <w:rsid w:val="002E5E89"/>
    <w:rsid w:val="002E71C2"/>
    <w:rsid w:val="002E7D66"/>
    <w:rsid w:val="002F0C21"/>
    <w:rsid w:val="002F3091"/>
    <w:rsid w:val="002F4402"/>
    <w:rsid w:val="002F6B57"/>
    <w:rsid w:val="00304D6E"/>
    <w:rsid w:val="0031071E"/>
    <w:rsid w:val="00314C8B"/>
    <w:rsid w:val="003166BC"/>
    <w:rsid w:val="00317596"/>
    <w:rsid w:val="003228D3"/>
    <w:rsid w:val="003233B1"/>
    <w:rsid w:val="003261EE"/>
    <w:rsid w:val="00326A93"/>
    <w:rsid w:val="00330C78"/>
    <w:rsid w:val="00332645"/>
    <w:rsid w:val="00337BE0"/>
    <w:rsid w:val="003411EA"/>
    <w:rsid w:val="0034135F"/>
    <w:rsid w:val="0034170D"/>
    <w:rsid w:val="00343C28"/>
    <w:rsid w:val="00347D77"/>
    <w:rsid w:val="00352A1E"/>
    <w:rsid w:val="00353AD0"/>
    <w:rsid w:val="00354C96"/>
    <w:rsid w:val="003556EB"/>
    <w:rsid w:val="0035700E"/>
    <w:rsid w:val="00360110"/>
    <w:rsid w:val="00365809"/>
    <w:rsid w:val="00366961"/>
    <w:rsid w:val="00367053"/>
    <w:rsid w:val="00367239"/>
    <w:rsid w:val="00367599"/>
    <w:rsid w:val="003702C4"/>
    <w:rsid w:val="00373142"/>
    <w:rsid w:val="003750B6"/>
    <w:rsid w:val="003754F3"/>
    <w:rsid w:val="00377440"/>
    <w:rsid w:val="0038119F"/>
    <w:rsid w:val="00382502"/>
    <w:rsid w:val="00383BAC"/>
    <w:rsid w:val="00385F69"/>
    <w:rsid w:val="003948B3"/>
    <w:rsid w:val="00394A95"/>
    <w:rsid w:val="003952D7"/>
    <w:rsid w:val="00397BA3"/>
    <w:rsid w:val="003A1222"/>
    <w:rsid w:val="003B2B32"/>
    <w:rsid w:val="003B2CFF"/>
    <w:rsid w:val="003B63F5"/>
    <w:rsid w:val="003B75F0"/>
    <w:rsid w:val="003B7952"/>
    <w:rsid w:val="003C03CD"/>
    <w:rsid w:val="003C27DA"/>
    <w:rsid w:val="003D41A5"/>
    <w:rsid w:val="003E1B3F"/>
    <w:rsid w:val="003E5A71"/>
    <w:rsid w:val="003E749D"/>
    <w:rsid w:val="003F4023"/>
    <w:rsid w:val="003F6F10"/>
    <w:rsid w:val="00401AE1"/>
    <w:rsid w:val="00401C1D"/>
    <w:rsid w:val="00401CC8"/>
    <w:rsid w:val="00401F6A"/>
    <w:rsid w:val="00402633"/>
    <w:rsid w:val="004032E3"/>
    <w:rsid w:val="00403835"/>
    <w:rsid w:val="00404264"/>
    <w:rsid w:val="004069F1"/>
    <w:rsid w:val="00407002"/>
    <w:rsid w:val="004110E2"/>
    <w:rsid w:val="00415641"/>
    <w:rsid w:val="00416B48"/>
    <w:rsid w:val="00416F1A"/>
    <w:rsid w:val="0043099C"/>
    <w:rsid w:val="0043164A"/>
    <w:rsid w:val="00432229"/>
    <w:rsid w:val="00432974"/>
    <w:rsid w:val="00440575"/>
    <w:rsid w:val="004411EA"/>
    <w:rsid w:val="00451C8C"/>
    <w:rsid w:val="00457643"/>
    <w:rsid w:val="00464BA2"/>
    <w:rsid w:val="004657DD"/>
    <w:rsid w:val="00467E82"/>
    <w:rsid w:val="00470E75"/>
    <w:rsid w:val="00473686"/>
    <w:rsid w:val="00474400"/>
    <w:rsid w:val="00476700"/>
    <w:rsid w:val="004801A4"/>
    <w:rsid w:val="00480883"/>
    <w:rsid w:val="004857D5"/>
    <w:rsid w:val="004873C5"/>
    <w:rsid w:val="00490C20"/>
    <w:rsid w:val="004A2C42"/>
    <w:rsid w:val="004A4C46"/>
    <w:rsid w:val="004A5B07"/>
    <w:rsid w:val="004A7BFF"/>
    <w:rsid w:val="004B145B"/>
    <w:rsid w:val="004C0997"/>
    <w:rsid w:val="004C107D"/>
    <w:rsid w:val="004C1D94"/>
    <w:rsid w:val="004C57CF"/>
    <w:rsid w:val="004C7595"/>
    <w:rsid w:val="004D02B8"/>
    <w:rsid w:val="004D3429"/>
    <w:rsid w:val="004E02D3"/>
    <w:rsid w:val="004E2FE7"/>
    <w:rsid w:val="004F35A1"/>
    <w:rsid w:val="004F3E17"/>
    <w:rsid w:val="004F49FB"/>
    <w:rsid w:val="004F7DDC"/>
    <w:rsid w:val="00500A6D"/>
    <w:rsid w:val="00501F69"/>
    <w:rsid w:val="0050573E"/>
    <w:rsid w:val="00514C7E"/>
    <w:rsid w:val="005224FA"/>
    <w:rsid w:val="0052288F"/>
    <w:rsid w:val="0054005C"/>
    <w:rsid w:val="00542FB4"/>
    <w:rsid w:val="0054379C"/>
    <w:rsid w:val="00545E40"/>
    <w:rsid w:val="005530C2"/>
    <w:rsid w:val="005600F6"/>
    <w:rsid w:val="005622FD"/>
    <w:rsid w:val="00562C92"/>
    <w:rsid w:val="0056419E"/>
    <w:rsid w:val="005770A5"/>
    <w:rsid w:val="00580C26"/>
    <w:rsid w:val="0059070C"/>
    <w:rsid w:val="00592CE7"/>
    <w:rsid w:val="0059618B"/>
    <w:rsid w:val="00597F48"/>
    <w:rsid w:val="005A5601"/>
    <w:rsid w:val="005A7A3E"/>
    <w:rsid w:val="005B781D"/>
    <w:rsid w:val="005C3180"/>
    <w:rsid w:val="005C5E67"/>
    <w:rsid w:val="005D451E"/>
    <w:rsid w:val="005D7228"/>
    <w:rsid w:val="005E3841"/>
    <w:rsid w:val="005E4948"/>
    <w:rsid w:val="005F7340"/>
    <w:rsid w:val="0060114F"/>
    <w:rsid w:val="0060274E"/>
    <w:rsid w:val="006048FD"/>
    <w:rsid w:val="00612BDB"/>
    <w:rsid w:val="00613E70"/>
    <w:rsid w:val="00620D34"/>
    <w:rsid w:val="00623878"/>
    <w:rsid w:val="0062397C"/>
    <w:rsid w:val="00626AF6"/>
    <w:rsid w:val="00632EAA"/>
    <w:rsid w:val="0063445B"/>
    <w:rsid w:val="006374F9"/>
    <w:rsid w:val="006420ED"/>
    <w:rsid w:val="00643293"/>
    <w:rsid w:val="00645868"/>
    <w:rsid w:val="00650C73"/>
    <w:rsid w:val="00654221"/>
    <w:rsid w:val="0066004C"/>
    <w:rsid w:val="006641B7"/>
    <w:rsid w:val="00670CF7"/>
    <w:rsid w:val="00675360"/>
    <w:rsid w:val="00676870"/>
    <w:rsid w:val="00682009"/>
    <w:rsid w:val="006871A5"/>
    <w:rsid w:val="00690736"/>
    <w:rsid w:val="0069101B"/>
    <w:rsid w:val="00691E63"/>
    <w:rsid w:val="00694328"/>
    <w:rsid w:val="00695C02"/>
    <w:rsid w:val="006A0DD9"/>
    <w:rsid w:val="006A1753"/>
    <w:rsid w:val="006A43AF"/>
    <w:rsid w:val="006A74DA"/>
    <w:rsid w:val="006B35CA"/>
    <w:rsid w:val="006B4A73"/>
    <w:rsid w:val="006C0FF6"/>
    <w:rsid w:val="006C10F5"/>
    <w:rsid w:val="006C59E0"/>
    <w:rsid w:val="006C634F"/>
    <w:rsid w:val="006D6C35"/>
    <w:rsid w:val="006D7DCD"/>
    <w:rsid w:val="006E0AD0"/>
    <w:rsid w:val="006E1A3A"/>
    <w:rsid w:val="006E6472"/>
    <w:rsid w:val="006F6A52"/>
    <w:rsid w:val="006F7044"/>
    <w:rsid w:val="00702A9F"/>
    <w:rsid w:val="00703DD8"/>
    <w:rsid w:val="007046BB"/>
    <w:rsid w:val="00704A64"/>
    <w:rsid w:val="007236FA"/>
    <w:rsid w:val="00725CFC"/>
    <w:rsid w:val="00726F34"/>
    <w:rsid w:val="00727A2F"/>
    <w:rsid w:val="00732E1A"/>
    <w:rsid w:val="007357F8"/>
    <w:rsid w:val="0073620D"/>
    <w:rsid w:val="00736D43"/>
    <w:rsid w:val="007400C0"/>
    <w:rsid w:val="00746A4F"/>
    <w:rsid w:val="00754F13"/>
    <w:rsid w:val="00762F69"/>
    <w:rsid w:val="00763578"/>
    <w:rsid w:val="007658F2"/>
    <w:rsid w:val="0077185D"/>
    <w:rsid w:val="00775E44"/>
    <w:rsid w:val="00776C3E"/>
    <w:rsid w:val="007801B9"/>
    <w:rsid w:val="00781543"/>
    <w:rsid w:val="007A54EF"/>
    <w:rsid w:val="007A5656"/>
    <w:rsid w:val="007B31F5"/>
    <w:rsid w:val="007B6865"/>
    <w:rsid w:val="007C14A5"/>
    <w:rsid w:val="007D3A98"/>
    <w:rsid w:val="007D4DA3"/>
    <w:rsid w:val="007D538A"/>
    <w:rsid w:val="007E0829"/>
    <w:rsid w:val="007E3F85"/>
    <w:rsid w:val="007E4A2B"/>
    <w:rsid w:val="007F5372"/>
    <w:rsid w:val="00805F6D"/>
    <w:rsid w:val="00810D8C"/>
    <w:rsid w:val="00811CF5"/>
    <w:rsid w:val="0081223A"/>
    <w:rsid w:val="0081521A"/>
    <w:rsid w:val="00817780"/>
    <w:rsid w:val="008213B0"/>
    <w:rsid w:val="00821443"/>
    <w:rsid w:val="008251B9"/>
    <w:rsid w:val="008269BA"/>
    <w:rsid w:val="00831471"/>
    <w:rsid w:val="00841983"/>
    <w:rsid w:val="00841EF7"/>
    <w:rsid w:val="008431B4"/>
    <w:rsid w:val="00843BA0"/>
    <w:rsid w:val="008451F2"/>
    <w:rsid w:val="0085485A"/>
    <w:rsid w:val="00855054"/>
    <w:rsid w:val="00860835"/>
    <w:rsid w:val="00862246"/>
    <w:rsid w:val="008631EB"/>
    <w:rsid w:val="00871790"/>
    <w:rsid w:val="00875D08"/>
    <w:rsid w:val="008761B9"/>
    <w:rsid w:val="008769DF"/>
    <w:rsid w:val="00883554"/>
    <w:rsid w:val="00883760"/>
    <w:rsid w:val="00892275"/>
    <w:rsid w:val="00893DED"/>
    <w:rsid w:val="00894BE9"/>
    <w:rsid w:val="008A14C3"/>
    <w:rsid w:val="008A2B2F"/>
    <w:rsid w:val="008A4E31"/>
    <w:rsid w:val="008B7591"/>
    <w:rsid w:val="008C46FE"/>
    <w:rsid w:val="008C6E2B"/>
    <w:rsid w:val="008D0E1C"/>
    <w:rsid w:val="008D490D"/>
    <w:rsid w:val="008E220D"/>
    <w:rsid w:val="008F1539"/>
    <w:rsid w:val="008F40E5"/>
    <w:rsid w:val="00900B05"/>
    <w:rsid w:val="009049D6"/>
    <w:rsid w:val="009079FA"/>
    <w:rsid w:val="00911680"/>
    <w:rsid w:val="00912E53"/>
    <w:rsid w:val="009141EC"/>
    <w:rsid w:val="00917964"/>
    <w:rsid w:val="0092725C"/>
    <w:rsid w:val="00932B93"/>
    <w:rsid w:val="009341A8"/>
    <w:rsid w:val="00934473"/>
    <w:rsid w:val="00935C01"/>
    <w:rsid w:val="009372C2"/>
    <w:rsid w:val="0093766C"/>
    <w:rsid w:val="009435E0"/>
    <w:rsid w:val="00947D9D"/>
    <w:rsid w:val="0095687C"/>
    <w:rsid w:val="00957245"/>
    <w:rsid w:val="0096003D"/>
    <w:rsid w:val="009601F4"/>
    <w:rsid w:val="00970A24"/>
    <w:rsid w:val="0097505A"/>
    <w:rsid w:val="009751B4"/>
    <w:rsid w:val="009779FA"/>
    <w:rsid w:val="009925DF"/>
    <w:rsid w:val="00992B49"/>
    <w:rsid w:val="00996367"/>
    <w:rsid w:val="009B0E08"/>
    <w:rsid w:val="009B2E21"/>
    <w:rsid w:val="009B4D2D"/>
    <w:rsid w:val="009B7D86"/>
    <w:rsid w:val="009C2A7C"/>
    <w:rsid w:val="009C45D1"/>
    <w:rsid w:val="009C73A1"/>
    <w:rsid w:val="009D01D8"/>
    <w:rsid w:val="009D123B"/>
    <w:rsid w:val="009D6F55"/>
    <w:rsid w:val="009E22DE"/>
    <w:rsid w:val="009F1AF9"/>
    <w:rsid w:val="009F62C1"/>
    <w:rsid w:val="009F7FD0"/>
    <w:rsid w:val="00A00B42"/>
    <w:rsid w:val="00A027F6"/>
    <w:rsid w:val="00A04A6C"/>
    <w:rsid w:val="00A15D2E"/>
    <w:rsid w:val="00A215DB"/>
    <w:rsid w:val="00A2391D"/>
    <w:rsid w:val="00A27403"/>
    <w:rsid w:val="00A27D70"/>
    <w:rsid w:val="00A308B4"/>
    <w:rsid w:val="00A30EF5"/>
    <w:rsid w:val="00A3197D"/>
    <w:rsid w:val="00A34C8C"/>
    <w:rsid w:val="00A35622"/>
    <w:rsid w:val="00A36E33"/>
    <w:rsid w:val="00A3772E"/>
    <w:rsid w:val="00A40891"/>
    <w:rsid w:val="00A44ABB"/>
    <w:rsid w:val="00A472AD"/>
    <w:rsid w:val="00A636A6"/>
    <w:rsid w:val="00A64B0D"/>
    <w:rsid w:val="00A665E7"/>
    <w:rsid w:val="00A73D56"/>
    <w:rsid w:val="00A741BF"/>
    <w:rsid w:val="00A77E98"/>
    <w:rsid w:val="00A82504"/>
    <w:rsid w:val="00A84247"/>
    <w:rsid w:val="00A87371"/>
    <w:rsid w:val="00A901AB"/>
    <w:rsid w:val="00A902E0"/>
    <w:rsid w:val="00AA00F5"/>
    <w:rsid w:val="00AA28DD"/>
    <w:rsid w:val="00AA5C6E"/>
    <w:rsid w:val="00AA7942"/>
    <w:rsid w:val="00AB09C6"/>
    <w:rsid w:val="00AB20FB"/>
    <w:rsid w:val="00AB7793"/>
    <w:rsid w:val="00AC2628"/>
    <w:rsid w:val="00AC4E3C"/>
    <w:rsid w:val="00AC5952"/>
    <w:rsid w:val="00AD3EC0"/>
    <w:rsid w:val="00AD7F6F"/>
    <w:rsid w:val="00AE3A93"/>
    <w:rsid w:val="00AE44FC"/>
    <w:rsid w:val="00AF02FB"/>
    <w:rsid w:val="00AF41BB"/>
    <w:rsid w:val="00AF42D3"/>
    <w:rsid w:val="00AF4A78"/>
    <w:rsid w:val="00AF6373"/>
    <w:rsid w:val="00AF7F1E"/>
    <w:rsid w:val="00B0012C"/>
    <w:rsid w:val="00B018B5"/>
    <w:rsid w:val="00B03AED"/>
    <w:rsid w:val="00B06C8C"/>
    <w:rsid w:val="00B10C67"/>
    <w:rsid w:val="00B215B0"/>
    <w:rsid w:val="00B22088"/>
    <w:rsid w:val="00B23041"/>
    <w:rsid w:val="00B23A4D"/>
    <w:rsid w:val="00B23C18"/>
    <w:rsid w:val="00B30D14"/>
    <w:rsid w:val="00B35DBD"/>
    <w:rsid w:val="00B4102E"/>
    <w:rsid w:val="00B41142"/>
    <w:rsid w:val="00B422AB"/>
    <w:rsid w:val="00B4277F"/>
    <w:rsid w:val="00B45EC1"/>
    <w:rsid w:val="00B5084B"/>
    <w:rsid w:val="00B52897"/>
    <w:rsid w:val="00B5410C"/>
    <w:rsid w:val="00B65AF1"/>
    <w:rsid w:val="00B65EBF"/>
    <w:rsid w:val="00B67C22"/>
    <w:rsid w:val="00B7197D"/>
    <w:rsid w:val="00B71F16"/>
    <w:rsid w:val="00B731A7"/>
    <w:rsid w:val="00B74B95"/>
    <w:rsid w:val="00B81C31"/>
    <w:rsid w:val="00B82610"/>
    <w:rsid w:val="00B83D1C"/>
    <w:rsid w:val="00B83DFB"/>
    <w:rsid w:val="00B87258"/>
    <w:rsid w:val="00BA1E3D"/>
    <w:rsid w:val="00BA1F23"/>
    <w:rsid w:val="00BA40A9"/>
    <w:rsid w:val="00BA5214"/>
    <w:rsid w:val="00BA61B1"/>
    <w:rsid w:val="00BA7B81"/>
    <w:rsid w:val="00BB42CC"/>
    <w:rsid w:val="00BB4D8C"/>
    <w:rsid w:val="00BB553F"/>
    <w:rsid w:val="00BC6555"/>
    <w:rsid w:val="00BD2F6E"/>
    <w:rsid w:val="00BD3A17"/>
    <w:rsid w:val="00BD620D"/>
    <w:rsid w:val="00BE1712"/>
    <w:rsid w:val="00BE257A"/>
    <w:rsid w:val="00BE3DB5"/>
    <w:rsid w:val="00BE6BD9"/>
    <w:rsid w:val="00BE7C61"/>
    <w:rsid w:val="00BF28CE"/>
    <w:rsid w:val="00C014A3"/>
    <w:rsid w:val="00C0184E"/>
    <w:rsid w:val="00C17FD4"/>
    <w:rsid w:val="00C2005B"/>
    <w:rsid w:val="00C21C25"/>
    <w:rsid w:val="00C23D35"/>
    <w:rsid w:val="00C240BD"/>
    <w:rsid w:val="00C26531"/>
    <w:rsid w:val="00C35146"/>
    <w:rsid w:val="00C5412E"/>
    <w:rsid w:val="00C5448E"/>
    <w:rsid w:val="00C54F8B"/>
    <w:rsid w:val="00C606D4"/>
    <w:rsid w:val="00C620BE"/>
    <w:rsid w:val="00C65DC9"/>
    <w:rsid w:val="00C70863"/>
    <w:rsid w:val="00C76EFA"/>
    <w:rsid w:val="00C80D99"/>
    <w:rsid w:val="00C8255E"/>
    <w:rsid w:val="00C82F97"/>
    <w:rsid w:val="00C85349"/>
    <w:rsid w:val="00C856C1"/>
    <w:rsid w:val="00C86F3C"/>
    <w:rsid w:val="00C87891"/>
    <w:rsid w:val="00C92A3F"/>
    <w:rsid w:val="00C955D5"/>
    <w:rsid w:val="00CA3A8D"/>
    <w:rsid w:val="00CB45A3"/>
    <w:rsid w:val="00CB4854"/>
    <w:rsid w:val="00CB5FE1"/>
    <w:rsid w:val="00CB6C73"/>
    <w:rsid w:val="00CC3773"/>
    <w:rsid w:val="00CC585B"/>
    <w:rsid w:val="00CD06AD"/>
    <w:rsid w:val="00CD2141"/>
    <w:rsid w:val="00CD3972"/>
    <w:rsid w:val="00CD4D97"/>
    <w:rsid w:val="00CE068E"/>
    <w:rsid w:val="00CE778C"/>
    <w:rsid w:val="00CF3144"/>
    <w:rsid w:val="00CF5C74"/>
    <w:rsid w:val="00CF7FF8"/>
    <w:rsid w:val="00D06ADB"/>
    <w:rsid w:val="00D07DCB"/>
    <w:rsid w:val="00D13526"/>
    <w:rsid w:val="00D15C83"/>
    <w:rsid w:val="00D17E01"/>
    <w:rsid w:val="00D24188"/>
    <w:rsid w:val="00D2583B"/>
    <w:rsid w:val="00D2679F"/>
    <w:rsid w:val="00D27672"/>
    <w:rsid w:val="00D3102B"/>
    <w:rsid w:val="00D31DF7"/>
    <w:rsid w:val="00D32D69"/>
    <w:rsid w:val="00D37A42"/>
    <w:rsid w:val="00D40055"/>
    <w:rsid w:val="00D43DAB"/>
    <w:rsid w:val="00D452F3"/>
    <w:rsid w:val="00D458DE"/>
    <w:rsid w:val="00D52828"/>
    <w:rsid w:val="00D53491"/>
    <w:rsid w:val="00D53649"/>
    <w:rsid w:val="00D5530C"/>
    <w:rsid w:val="00D5702B"/>
    <w:rsid w:val="00D608AD"/>
    <w:rsid w:val="00D709E7"/>
    <w:rsid w:val="00D724BF"/>
    <w:rsid w:val="00D756C6"/>
    <w:rsid w:val="00D8157E"/>
    <w:rsid w:val="00D82307"/>
    <w:rsid w:val="00D90986"/>
    <w:rsid w:val="00D91B67"/>
    <w:rsid w:val="00D94E4A"/>
    <w:rsid w:val="00D9653B"/>
    <w:rsid w:val="00D97169"/>
    <w:rsid w:val="00DA05A1"/>
    <w:rsid w:val="00DA07F1"/>
    <w:rsid w:val="00DA29A7"/>
    <w:rsid w:val="00DA403B"/>
    <w:rsid w:val="00DA61C8"/>
    <w:rsid w:val="00DA6C8B"/>
    <w:rsid w:val="00DB12A7"/>
    <w:rsid w:val="00DB248E"/>
    <w:rsid w:val="00DB438C"/>
    <w:rsid w:val="00DC295E"/>
    <w:rsid w:val="00DC3AA6"/>
    <w:rsid w:val="00DC3BB3"/>
    <w:rsid w:val="00DC6E5A"/>
    <w:rsid w:val="00DD26C3"/>
    <w:rsid w:val="00DD404E"/>
    <w:rsid w:val="00DD5A19"/>
    <w:rsid w:val="00DE7494"/>
    <w:rsid w:val="00DF4937"/>
    <w:rsid w:val="00E01395"/>
    <w:rsid w:val="00E044F2"/>
    <w:rsid w:val="00E07347"/>
    <w:rsid w:val="00E16C54"/>
    <w:rsid w:val="00E2226C"/>
    <w:rsid w:val="00E22DFF"/>
    <w:rsid w:val="00E249A2"/>
    <w:rsid w:val="00E357EC"/>
    <w:rsid w:val="00E376A8"/>
    <w:rsid w:val="00E37CD3"/>
    <w:rsid w:val="00E43B0C"/>
    <w:rsid w:val="00E44FD6"/>
    <w:rsid w:val="00E47D77"/>
    <w:rsid w:val="00E5023D"/>
    <w:rsid w:val="00E5074A"/>
    <w:rsid w:val="00E52F35"/>
    <w:rsid w:val="00E53824"/>
    <w:rsid w:val="00E60B59"/>
    <w:rsid w:val="00E6336C"/>
    <w:rsid w:val="00E73BC8"/>
    <w:rsid w:val="00E743CB"/>
    <w:rsid w:val="00E74773"/>
    <w:rsid w:val="00E75757"/>
    <w:rsid w:val="00E803BA"/>
    <w:rsid w:val="00E810A2"/>
    <w:rsid w:val="00E84B13"/>
    <w:rsid w:val="00E866B7"/>
    <w:rsid w:val="00EB3109"/>
    <w:rsid w:val="00EB61B6"/>
    <w:rsid w:val="00EC0AF5"/>
    <w:rsid w:val="00EC49FD"/>
    <w:rsid w:val="00EC4EBF"/>
    <w:rsid w:val="00ED0482"/>
    <w:rsid w:val="00EE13D1"/>
    <w:rsid w:val="00EE3F61"/>
    <w:rsid w:val="00EE71A6"/>
    <w:rsid w:val="00EE7FC9"/>
    <w:rsid w:val="00F05CD8"/>
    <w:rsid w:val="00F136E1"/>
    <w:rsid w:val="00F139AF"/>
    <w:rsid w:val="00F20AEE"/>
    <w:rsid w:val="00F20FBF"/>
    <w:rsid w:val="00F21A60"/>
    <w:rsid w:val="00F26BC3"/>
    <w:rsid w:val="00F27321"/>
    <w:rsid w:val="00F400DC"/>
    <w:rsid w:val="00F40918"/>
    <w:rsid w:val="00F52598"/>
    <w:rsid w:val="00F533C7"/>
    <w:rsid w:val="00F5391F"/>
    <w:rsid w:val="00F61A1D"/>
    <w:rsid w:val="00F63322"/>
    <w:rsid w:val="00F72829"/>
    <w:rsid w:val="00F74739"/>
    <w:rsid w:val="00F7511F"/>
    <w:rsid w:val="00F7571C"/>
    <w:rsid w:val="00F758DE"/>
    <w:rsid w:val="00F7692C"/>
    <w:rsid w:val="00F8107B"/>
    <w:rsid w:val="00F82484"/>
    <w:rsid w:val="00F846A0"/>
    <w:rsid w:val="00F930B8"/>
    <w:rsid w:val="00F944A1"/>
    <w:rsid w:val="00F950A8"/>
    <w:rsid w:val="00FA2131"/>
    <w:rsid w:val="00FA3742"/>
    <w:rsid w:val="00FA40A9"/>
    <w:rsid w:val="00FA5CAD"/>
    <w:rsid w:val="00FA6DF2"/>
    <w:rsid w:val="00FB5FC1"/>
    <w:rsid w:val="00FB69C9"/>
    <w:rsid w:val="00FC088B"/>
    <w:rsid w:val="00FC2714"/>
    <w:rsid w:val="00FD100B"/>
    <w:rsid w:val="00FD367A"/>
    <w:rsid w:val="00FE1EB2"/>
    <w:rsid w:val="00FE30E6"/>
    <w:rsid w:val="00FF09EF"/>
    <w:rsid w:val="00FF1052"/>
    <w:rsid w:val="00FF1FC8"/>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5:docId w15:val="{83133C47-8055-4478-9DC6-1495317D5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56564-4204-4FD6-BB96-D35B3EFED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2475</TotalTime>
  <Pages>11</Pages>
  <Words>1139</Words>
  <Characters>6267</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 Luc</cp:lastModifiedBy>
  <cp:revision>586</cp:revision>
  <cp:lastPrinted>2018-03-12T09:18:00Z</cp:lastPrinted>
  <dcterms:created xsi:type="dcterms:W3CDTF">2018-02-02T13:49:00Z</dcterms:created>
  <dcterms:modified xsi:type="dcterms:W3CDTF">2018-06-04T16:00:00Z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7e4f81-4b1c-4a3a-b237-8636707719dc_Enabled">
    <vt:lpwstr>True</vt:lpwstr>
  </property>
  <property fmtid="{D5CDD505-2E9C-101B-9397-08002B2CF9AE}" pid="3" name="MSIP_Label_797e4f81-4b1c-4a3a-b237-8636707719dc_SiteId">
    <vt:lpwstr>d5bb6d35-8a82-4329-b49a-5030bd6497ab</vt:lpwstr>
  </property>
  <property fmtid="{D5CDD505-2E9C-101B-9397-08002B2CF9AE}" pid="4" name="MSIP_Label_797e4f81-4b1c-4a3a-b237-8636707719dc_Ref">
    <vt:lpwstr>https://api.informationprotection.azure.com/api/d5bb6d35-8a82-4329-b49a-5030bd6497ab</vt:lpwstr>
  </property>
  <property fmtid="{D5CDD505-2E9C-101B-9397-08002B2CF9AE}" pid="5" name="MSIP_Label_797e4f81-4b1c-4a3a-b237-8636707719dc_Owner">
    <vt:lpwstr>jean-luc.attal@ostrum.com</vt:lpwstr>
  </property>
  <property fmtid="{D5CDD505-2E9C-101B-9397-08002B2CF9AE}" pid="6" name="MSIP_Label_797e4f81-4b1c-4a3a-b237-8636707719dc_SetDate">
    <vt:lpwstr>2018-04-06T11:47:54.1052964+02:00</vt:lpwstr>
  </property>
  <property fmtid="{D5CDD505-2E9C-101B-9397-08002B2CF9AE}" pid="7" name="MSIP_Label_797e4f81-4b1c-4a3a-b237-8636707719dc_Name">
    <vt:lpwstr>C2 - Internal Natixis</vt:lpwstr>
  </property>
  <property fmtid="{D5CDD505-2E9C-101B-9397-08002B2CF9AE}" pid="8" name="MSIP_Label_797e4f81-4b1c-4a3a-b237-8636707719dc_Application">
    <vt:lpwstr>Microsoft Azure Information Protection</vt:lpwstr>
  </property>
  <property fmtid="{D5CDD505-2E9C-101B-9397-08002B2CF9AE}" pid="9" name="MSIP_Label_797e4f81-4b1c-4a3a-b237-8636707719dc_Extended_MSFT_Method">
    <vt:lpwstr>Automatic</vt:lpwstr>
  </property>
  <property fmtid="{D5CDD505-2E9C-101B-9397-08002B2CF9AE}" pid="10" name="Sensitivity">
    <vt:lpwstr>C2 - Internal Natixis</vt:lpwstr>
  </property>
</Properties>
</file>