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FD5E11">
        <w:rPr>
          <w:rFonts w:ascii="Calibri Light" w:hAnsi="Calibri Light" w:cs="Arial"/>
          <w:b/>
          <w:sz w:val="44"/>
          <w:szCs w:val="44"/>
        </w:rPr>
        <w:t xml:space="preserve">11 </w:t>
      </w:r>
      <w:r w:rsidR="00196168">
        <w:rPr>
          <w:rFonts w:ascii="Calibri Light" w:hAnsi="Calibri Light" w:cs="Arial"/>
          <w:b/>
          <w:sz w:val="44"/>
          <w:szCs w:val="44"/>
        </w:rPr>
        <w:t>juin</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343C28" w:rsidRDefault="00343C28" w:rsidP="00F72829">
      <w:pPr>
        <w:jc w:val="both"/>
        <w:rPr>
          <w:rFonts w:ascii="Arial" w:hAnsi="Arial" w:cs="Arial"/>
          <w:b/>
          <w:sz w:val="22"/>
          <w:szCs w:val="22"/>
        </w:rPr>
      </w:pPr>
    </w:p>
    <w:p w:rsidR="00FB5FC1" w:rsidRPr="00800AB1" w:rsidRDefault="00FB5FC1"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r w:rsidRPr="0059618B">
        <w:rPr>
          <w:rFonts w:ascii="Arial" w:hAnsi="Arial" w:cs="Arial"/>
          <w:b/>
          <w:sz w:val="28"/>
          <w:szCs w:val="28"/>
          <w:u w:val="single"/>
        </w:rPr>
        <w:t>Monthly</w:t>
      </w:r>
    </w:p>
    <w:p w:rsidR="00F72829" w:rsidRPr="00613E70" w:rsidRDefault="00ED185D" w:rsidP="00B65AF1">
      <w:pPr>
        <w:autoSpaceDE w:val="0"/>
        <w:ind w:left="-283"/>
        <w:jc w:val="both"/>
        <w:rPr>
          <w:rFonts w:ascii="Arial" w:hAnsi="Arial" w:cs="Arial"/>
          <w:b/>
          <w:sz w:val="28"/>
          <w:szCs w:val="28"/>
          <w:u w:val="single"/>
        </w:rPr>
      </w:pPr>
      <w:r>
        <w:rPr>
          <w:rFonts w:ascii="Arial" w:hAnsi="Arial" w:cs="Arial"/>
          <w:b/>
          <w:noProof/>
          <w:sz w:val="28"/>
          <w:szCs w:val="28"/>
          <w:u w:val="single"/>
        </w:rPr>
        <w:drawing>
          <wp:inline distT="0" distB="0" distL="0" distR="0">
            <wp:extent cx="6645467" cy="4253346"/>
            <wp:effectExtent l="0" t="0" r="3175" b="0"/>
            <wp:docPr id="5" name="Image 5" descr="C:\Temp\Bloomberg\temp\bfmEEB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EEB6.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8894" cy="4255539"/>
                    </a:xfrm>
                    <a:prstGeom prst="rect">
                      <a:avLst/>
                    </a:prstGeom>
                    <a:noFill/>
                    <a:ln>
                      <a:noFill/>
                    </a:ln>
                  </pic:spPr>
                </pic:pic>
              </a:graphicData>
            </a:graphic>
          </wp:inline>
        </w:drawing>
      </w:r>
    </w:p>
    <w:p w:rsidR="00F72829" w:rsidRPr="00613E70" w:rsidRDefault="00F72829" w:rsidP="00F72829">
      <w:pPr>
        <w:autoSpaceDE w:val="0"/>
        <w:jc w:val="both"/>
        <w:rPr>
          <w:rFonts w:ascii="Arial" w:hAnsi="Arial" w:cs="Arial"/>
          <w:b/>
          <w:sz w:val="28"/>
          <w:szCs w:val="28"/>
          <w:u w:val="single"/>
        </w:rPr>
      </w:pPr>
      <w:r w:rsidRPr="00613E70">
        <w:rPr>
          <w:rFonts w:ascii="Arial" w:hAnsi="Arial" w:cs="Arial"/>
          <w:b/>
          <w:sz w:val="28"/>
          <w:szCs w:val="28"/>
          <w:u w:val="single"/>
        </w:rPr>
        <w:t>Weekly</w:t>
      </w:r>
    </w:p>
    <w:p w:rsidR="000D4E0C" w:rsidRPr="00613E70" w:rsidRDefault="00ED185D" w:rsidP="00B23A4D">
      <w:pPr>
        <w:autoSpaceDE w:val="0"/>
        <w:ind w:left="-283"/>
        <w:jc w:val="both"/>
        <w:rPr>
          <w:rFonts w:ascii="Arial" w:hAnsi="Arial" w:cs="Arial"/>
          <w:b/>
          <w:sz w:val="28"/>
          <w:szCs w:val="28"/>
          <w:u w:val="single"/>
        </w:rPr>
      </w:pPr>
      <w:r>
        <w:rPr>
          <w:rFonts w:ascii="Arial" w:hAnsi="Arial" w:cs="Arial"/>
          <w:b/>
          <w:noProof/>
          <w:sz w:val="28"/>
          <w:szCs w:val="28"/>
          <w:u w:val="single"/>
        </w:rPr>
        <w:drawing>
          <wp:inline distT="0" distB="0" distL="0" distR="0">
            <wp:extent cx="6645124" cy="4246418"/>
            <wp:effectExtent l="0" t="0" r="3810" b="1905"/>
            <wp:docPr id="4" name="Image 4" descr="C:\Temp\Bloomberg\temp\bfm9FB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9FBA.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50290" cy="4249719"/>
                    </a:xfrm>
                    <a:prstGeom prst="rect">
                      <a:avLst/>
                    </a:prstGeom>
                    <a:noFill/>
                    <a:ln>
                      <a:noFill/>
                    </a:ln>
                  </pic:spPr>
                </pic:pic>
              </a:graphicData>
            </a:graphic>
          </wp:inline>
        </w:drawing>
      </w:r>
    </w:p>
    <w:p w:rsidR="000D4E0C" w:rsidRPr="00613E70" w:rsidRDefault="005E3841" w:rsidP="00B65AF1">
      <w:pPr>
        <w:autoSpaceDE w:val="0"/>
        <w:ind w:left="-851"/>
        <w:jc w:val="both"/>
        <w:rPr>
          <w:rFonts w:ascii="Arial" w:hAnsi="Arial" w:cs="Arial"/>
          <w:b/>
          <w:sz w:val="28"/>
          <w:szCs w:val="28"/>
          <w:u w:val="single"/>
        </w:rPr>
      </w:pPr>
      <w:r w:rsidRPr="00613E70">
        <w:rPr>
          <w:rFonts w:ascii="Arial" w:hAnsi="Arial" w:cs="Arial"/>
          <w:b/>
          <w:sz w:val="28"/>
          <w:szCs w:val="28"/>
        </w:rPr>
        <w:lastRenderedPageBreak/>
        <w:t xml:space="preserve">           </w:t>
      </w:r>
      <w:r w:rsidR="000D4E0C" w:rsidRPr="00613E70">
        <w:rPr>
          <w:rFonts w:ascii="Arial" w:hAnsi="Arial" w:cs="Arial"/>
          <w:b/>
          <w:sz w:val="28"/>
          <w:szCs w:val="28"/>
          <w:u w:val="single"/>
        </w:rPr>
        <w:t>Daily</w:t>
      </w:r>
    </w:p>
    <w:p w:rsidR="000043C9" w:rsidRPr="00613E70" w:rsidRDefault="00ED185D" w:rsidP="00FB5FC1">
      <w:pPr>
        <w:autoSpaceDE w:val="0"/>
        <w:ind w:left="-283"/>
        <w:jc w:val="both"/>
        <w:rPr>
          <w:rFonts w:ascii="Arial" w:hAnsi="Arial" w:cs="Arial"/>
          <w:b/>
          <w:sz w:val="28"/>
          <w:szCs w:val="28"/>
          <w:u w:val="single"/>
        </w:rPr>
      </w:pPr>
      <w:r>
        <w:rPr>
          <w:rFonts w:ascii="Arial" w:hAnsi="Arial" w:cs="Arial"/>
          <w:b/>
          <w:noProof/>
          <w:sz w:val="28"/>
          <w:szCs w:val="28"/>
          <w:u w:val="single"/>
        </w:rPr>
        <w:drawing>
          <wp:inline distT="0" distB="0" distL="0" distR="0">
            <wp:extent cx="6645910" cy="4787584"/>
            <wp:effectExtent l="0" t="0" r="2540" b="0"/>
            <wp:docPr id="3" name="Image 3" descr="C:\Temp\Bloomberg\temp\bfm45A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45A8.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4787584"/>
                    </a:xfrm>
                    <a:prstGeom prst="rect">
                      <a:avLst/>
                    </a:prstGeom>
                    <a:noFill/>
                    <a:ln>
                      <a:noFill/>
                    </a:ln>
                  </pic:spPr>
                </pic:pic>
              </a:graphicData>
            </a:graphic>
          </wp:inline>
        </w:drawing>
      </w:r>
    </w:p>
    <w:p w:rsidR="004873C5" w:rsidRDefault="00F72829" w:rsidP="00B35114">
      <w:pPr>
        <w:jc w:val="both"/>
        <w:rPr>
          <w:rFonts w:ascii="Tahoma" w:hAnsi="Tahoma" w:cs="Tahoma"/>
        </w:rPr>
      </w:pPr>
      <w:r w:rsidRPr="008631EB">
        <w:rPr>
          <w:rFonts w:ascii="Arial" w:hAnsi="Arial" w:cs="Arial"/>
          <w:b/>
        </w:rPr>
        <w:t>M</w:t>
      </w:r>
      <w:r w:rsidR="00DC3AA6" w:rsidRPr="008631EB">
        <w:rPr>
          <w:rFonts w:ascii="Arial" w:hAnsi="Arial" w:cs="Arial"/>
          <w:b/>
        </w:rPr>
        <w:t xml:space="preserve"> : </w:t>
      </w:r>
      <w:r w:rsidR="003261EE" w:rsidRPr="00B35114">
        <w:rPr>
          <w:rFonts w:ascii="Tahoma" w:hAnsi="Tahoma" w:cs="Tahoma"/>
        </w:rPr>
        <w:t xml:space="preserve">Le </w:t>
      </w:r>
      <w:r w:rsidR="00A3197D" w:rsidRPr="00B35114">
        <w:rPr>
          <w:rFonts w:ascii="Tahoma" w:hAnsi="Tahoma" w:cs="Tahoma"/>
        </w:rPr>
        <w:t xml:space="preserve">contexte de </w:t>
      </w:r>
      <w:r w:rsidR="00FA5CAD" w:rsidRPr="00B35114">
        <w:rPr>
          <w:rFonts w:ascii="Tahoma" w:hAnsi="Tahoma" w:cs="Tahoma"/>
        </w:rPr>
        <w:t>long</w:t>
      </w:r>
      <w:r w:rsidR="00A3197D" w:rsidRPr="00B35114">
        <w:rPr>
          <w:rFonts w:ascii="Tahoma" w:hAnsi="Tahoma" w:cs="Tahoma"/>
        </w:rPr>
        <w:t xml:space="preserve"> </w:t>
      </w:r>
      <w:r w:rsidR="000043C9" w:rsidRPr="00B35114">
        <w:rPr>
          <w:rFonts w:ascii="Tahoma" w:hAnsi="Tahoma" w:cs="Tahoma"/>
        </w:rPr>
        <w:t xml:space="preserve">terme est baissier. </w:t>
      </w:r>
      <w:r w:rsidR="00B35114">
        <w:rPr>
          <w:rFonts w:ascii="Tahoma" w:hAnsi="Tahoma" w:cs="Tahoma"/>
        </w:rPr>
        <w:t xml:space="preserve">Après avoir testé son plat de KS, le taux est revenu sur sa TS. Tant qu’elles ne seront pas invalidées par une </w:t>
      </w:r>
      <w:r w:rsidR="00A0762B">
        <w:rPr>
          <w:rFonts w:ascii="Tahoma" w:hAnsi="Tahoma" w:cs="Tahoma"/>
        </w:rPr>
        <w:t>clôture</w:t>
      </w:r>
      <w:r w:rsidR="00B35114">
        <w:rPr>
          <w:rFonts w:ascii="Tahoma" w:hAnsi="Tahoma" w:cs="Tahoma"/>
        </w:rPr>
        <w:t>, ces deux courbes continueront de servir de support et de résistance sur respectivement 0.30 et 0.50.</w:t>
      </w:r>
    </w:p>
    <w:p w:rsidR="00B35114" w:rsidRDefault="00B35114" w:rsidP="00B35114">
      <w:pPr>
        <w:jc w:val="both"/>
        <w:rPr>
          <w:rFonts w:ascii="Tahoma" w:hAnsi="Tahoma" w:cs="Tahoma"/>
        </w:rPr>
      </w:pPr>
      <w:r>
        <w:rPr>
          <w:rFonts w:ascii="Tahoma" w:hAnsi="Tahoma" w:cs="Tahoma"/>
        </w:rPr>
        <w:t>Un dépassement de 0.50 orientera le marché sur la résistance concrétisée par la bordure basse du nuage de 0.65.</w:t>
      </w:r>
    </w:p>
    <w:p w:rsidR="00D4418E" w:rsidRPr="00FD5E11" w:rsidRDefault="00D4418E" w:rsidP="00B35114">
      <w:pPr>
        <w:jc w:val="both"/>
        <w:rPr>
          <w:rFonts w:ascii="Tahoma" w:hAnsi="Tahoma" w:cs="Tahoma"/>
          <w:color w:val="FF0000"/>
        </w:rPr>
      </w:pPr>
      <w:r>
        <w:rPr>
          <w:rFonts w:ascii="Tahoma" w:hAnsi="Tahoma" w:cs="Tahoma"/>
        </w:rPr>
        <w:t>Les nombreux plats de cette unité de temps limitent le potentiel de rupture des supports et des résistances.</w:t>
      </w:r>
    </w:p>
    <w:p w:rsidR="00FC2714" w:rsidRDefault="00FC2714" w:rsidP="008631EB">
      <w:pPr>
        <w:jc w:val="both"/>
        <w:rPr>
          <w:rFonts w:ascii="Tahoma" w:hAnsi="Tahoma" w:cs="Tahoma"/>
        </w:rPr>
      </w:pPr>
    </w:p>
    <w:p w:rsidR="00207BD5" w:rsidRDefault="003A1222" w:rsidP="00FD5E11">
      <w:pPr>
        <w:jc w:val="both"/>
        <w:rPr>
          <w:rFonts w:ascii="Tahoma" w:hAnsi="Tahoma" w:cs="Tahoma"/>
        </w:rPr>
      </w:pPr>
      <w:r w:rsidRPr="008631EB">
        <w:rPr>
          <w:rFonts w:ascii="Arial" w:hAnsi="Arial" w:cs="Arial"/>
          <w:b/>
          <w:bCs/>
        </w:rPr>
        <w:t xml:space="preserve">W : </w:t>
      </w:r>
      <w:r w:rsidR="006F4736">
        <w:rPr>
          <w:rFonts w:ascii="Tahoma" w:hAnsi="Tahoma" w:cs="Tahoma"/>
        </w:rPr>
        <w:t>Les plats s</w:t>
      </w:r>
      <w:r w:rsidR="006F4736" w:rsidRPr="006F4736">
        <w:rPr>
          <w:rFonts w:ascii="Tahoma" w:hAnsi="Tahoma" w:cs="Tahoma"/>
        </w:rPr>
        <w:t xml:space="preserve">ur le moyen terme </w:t>
      </w:r>
      <w:r w:rsidR="006F4736">
        <w:rPr>
          <w:rFonts w:ascii="Tahoma" w:hAnsi="Tahoma" w:cs="Tahoma"/>
        </w:rPr>
        <w:t>nous indique</w:t>
      </w:r>
      <w:r w:rsidR="002505D9">
        <w:rPr>
          <w:rFonts w:ascii="Tahoma" w:hAnsi="Tahoma" w:cs="Tahoma"/>
        </w:rPr>
        <w:t>nt</w:t>
      </w:r>
      <w:r w:rsidR="006F4736">
        <w:rPr>
          <w:rFonts w:ascii="Tahoma" w:hAnsi="Tahoma" w:cs="Tahoma"/>
        </w:rPr>
        <w:t xml:space="preserve"> que cette unité de temps n’est plus en tendance. La position du taux et de la LS </w:t>
      </w:r>
      <w:r w:rsidR="001017C5">
        <w:rPr>
          <w:rFonts w:ascii="Tahoma" w:hAnsi="Tahoma" w:cs="Tahoma"/>
        </w:rPr>
        <w:t>avantage</w:t>
      </w:r>
      <w:r w:rsidR="006F4736">
        <w:rPr>
          <w:rFonts w:ascii="Tahoma" w:hAnsi="Tahoma" w:cs="Tahoma"/>
        </w:rPr>
        <w:t xml:space="preserve"> la hausse mais la consolidation est pour le moment l’option la plus </w:t>
      </w:r>
      <w:r w:rsidR="00AE3237">
        <w:rPr>
          <w:rFonts w:ascii="Tahoma" w:hAnsi="Tahoma" w:cs="Tahoma"/>
        </w:rPr>
        <w:t>probable.</w:t>
      </w:r>
    </w:p>
    <w:p w:rsidR="00207BD5" w:rsidRDefault="00207BD5" w:rsidP="00FD5E11">
      <w:pPr>
        <w:jc w:val="both"/>
        <w:rPr>
          <w:rFonts w:ascii="Tahoma" w:hAnsi="Tahoma" w:cs="Tahoma"/>
        </w:rPr>
      </w:pPr>
      <w:r>
        <w:rPr>
          <w:rFonts w:ascii="Tahoma" w:hAnsi="Tahoma" w:cs="Tahoma"/>
        </w:rPr>
        <w:t>Le dépassement du plat de KS de 0.50 permettra d’envisager la poursuite de la hausse en direction du précédent haut de 0.65.</w:t>
      </w:r>
    </w:p>
    <w:p w:rsidR="00152500" w:rsidRDefault="002505D9" w:rsidP="00FD5E11">
      <w:pPr>
        <w:jc w:val="both"/>
        <w:rPr>
          <w:rFonts w:ascii="Tahoma" w:hAnsi="Tahoma" w:cs="Tahoma"/>
        </w:rPr>
      </w:pPr>
      <w:r>
        <w:rPr>
          <w:rFonts w:ascii="Tahoma" w:hAnsi="Tahoma" w:cs="Tahoma"/>
        </w:rPr>
        <w:t>Seul</w:t>
      </w:r>
      <w:r w:rsidR="00207BD5">
        <w:rPr>
          <w:rFonts w:ascii="Tahoma" w:hAnsi="Tahoma" w:cs="Tahoma"/>
        </w:rPr>
        <w:t xml:space="preserve"> un retour du 10 ans sous 0.38 signalera la possibilité de voir le taux </w:t>
      </w:r>
      <w:r w:rsidR="00764E65">
        <w:rPr>
          <w:rFonts w:ascii="Tahoma" w:hAnsi="Tahoma" w:cs="Tahoma"/>
        </w:rPr>
        <w:t>repartir à la baisse.</w:t>
      </w:r>
      <w:r w:rsidR="00207BD5">
        <w:rPr>
          <w:rFonts w:ascii="Tahoma" w:hAnsi="Tahoma" w:cs="Tahoma"/>
        </w:rPr>
        <w:t xml:space="preserve"> </w:t>
      </w:r>
      <w:r w:rsidR="006F4736">
        <w:rPr>
          <w:rFonts w:ascii="Tahoma" w:hAnsi="Tahoma" w:cs="Tahoma"/>
        </w:rPr>
        <w:t xml:space="preserve"> </w:t>
      </w:r>
    </w:p>
    <w:p w:rsidR="00A82504" w:rsidRDefault="00A82504" w:rsidP="008631EB">
      <w:pPr>
        <w:jc w:val="both"/>
        <w:rPr>
          <w:rFonts w:ascii="Tahoma" w:hAnsi="Tahoma" w:cs="Tahoma"/>
        </w:rPr>
      </w:pPr>
    </w:p>
    <w:p w:rsidR="00F72829" w:rsidRPr="00FE4A7A" w:rsidRDefault="00A82504" w:rsidP="00FD5E11">
      <w:pPr>
        <w:jc w:val="both"/>
        <w:rPr>
          <w:rFonts w:ascii="Tahoma" w:hAnsi="Tahoma" w:cs="Tahoma"/>
        </w:rPr>
      </w:pPr>
      <w:r w:rsidRPr="008631EB">
        <w:rPr>
          <w:rFonts w:ascii="Arial" w:hAnsi="Arial" w:cs="Arial"/>
          <w:b/>
          <w:bCs/>
        </w:rPr>
        <w:t xml:space="preserve">D : </w:t>
      </w:r>
      <w:r w:rsidR="00FE4A7A" w:rsidRPr="00FE4A7A">
        <w:rPr>
          <w:rFonts w:ascii="Tahoma" w:hAnsi="Tahoma" w:cs="Tahoma"/>
        </w:rPr>
        <w:t xml:space="preserve">Le plat de KS de 0.42 </w:t>
      </w:r>
      <w:r w:rsidR="00FE4A7A">
        <w:rPr>
          <w:rFonts w:ascii="Tahoma" w:hAnsi="Tahoma" w:cs="Tahoma"/>
        </w:rPr>
        <w:t xml:space="preserve">va encore servir pour la semaine de point médian. </w:t>
      </w:r>
      <w:r w:rsidR="0076073C">
        <w:rPr>
          <w:rFonts w:ascii="Tahoma" w:hAnsi="Tahoma" w:cs="Tahoma"/>
        </w:rPr>
        <w:t xml:space="preserve">Il est renforcé par un plat de nuage futur. </w:t>
      </w:r>
      <w:r w:rsidR="00FE4A7A">
        <w:rPr>
          <w:rFonts w:ascii="Tahoma" w:hAnsi="Tahoma" w:cs="Tahoma"/>
        </w:rPr>
        <w:t>Il sera une force de rappel pour le taux</w:t>
      </w:r>
      <w:r w:rsidR="0076073C">
        <w:rPr>
          <w:rFonts w:ascii="Tahoma" w:hAnsi="Tahoma" w:cs="Tahoma"/>
        </w:rPr>
        <w:t xml:space="preserve">. </w:t>
      </w:r>
      <w:r w:rsidR="00A0762B">
        <w:rPr>
          <w:rFonts w:ascii="Tahoma" w:hAnsi="Tahoma" w:cs="Tahoma"/>
        </w:rPr>
        <w:t>Au-dessus</w:t>
      </w:r>
      <w:r w:rsidR="0076073C">
        <w:rPr>
          <w:rFonts w:ascii="Tahoma" w:hAnsi="Tahoma" w:cs="Tahoma"/>
        </w:rPr>
        <w:t xml:space="preserve"> de 0.42, ce plat</w:t>
      </w:r>
      <w:r w:rsidR="00FE4A7A">
        <w:rPr>
          <w:rFonts w:ascii="Tahoma" w:hAnsi="Tahoma" w:cs="Tahoma"/>
        </w:rPr>
        <w:t xml:space="preserve"> limitera la progression du marché au niveau de 0.65. </w:t>
      </w:r>
    </w:p>
    <w:p w:rsidR="00FD5E11" w:rsidRPr="00FA5CAD" w:rsidRDefault="00FD5E11" w:rsidP="00FD5E11">
      <w:pPr>
        <w:jc w:val="both"/>
        <w:rPr>
          <w:rFonts w:ascii="Tahoma" w:hAnsi="Tahoma" w:cs="Tahoma"/>
        </w:rPr>
      </w:pPr>
    </w:p>
    <w:p w:rsidR="005622FD" w:rsidRDefault="00F72829" w:rsidP="00732E1A">
      <w:pPr>
        <w:jc w:val="both"/>
        <w:rPr>
          <w:rFonts w:ascii="Arial" w:hAnsi="Arial" w:cs="Arial"/>
          <w:b/>
          <w:color w:val="00B050"/>
        </w:rPr>
      </w:pPr>
      <w:r w:rsidRPr="00804BD3">
        <w:rPr>
          <w:rFonts w:ascii="Arial" w:hAnsi="Arial" w:cs="Arial"/>
          <w:b/>
          <w:color w:val="00B050"/>
          <w:u w:val="single"/>
        </w:rPr>
        <w:t>HEBDOMADAIRE</w:t>
      </w:r>
      <w:r w:rsidRPr="00804BD3">
        <w:rPr>
          <w:rFonts w:ascii="Arial" w:hAnsi="Arial" w:cs="Arial"/>
          <w:b/>
          <w:color w:val="00B050"/>
        </w:rPr>
        <w:t xml:space="preserve"> : </w:t>
      </w:r>
      <w:r w:rsidR="00C8169C">
        <w:rPr>
          <w:rFonts w:ascii="Arial" w:hAnsi="Arial" w:cs="Arial"/>
          <w:b/>
          <w:color w:val="00B050"/>
        </w:rPr>
        <w:t xml:space="preserve">0.42 en point médian pour la semaine. </w:t>
      </w:r>
      <w:r w:rsidR="00A0762B">
        <w:rPr>
          <w:rFonts w:ascii="Arial" w:hAnsi="Arial" w:cs="Arial"/>
          <w:b/>
          <w:color w:val="00B050"/>
        </w:rPr>
        <w:t>Au-dessus</w:t>
      </w:r>
      <w:r w:rsidR="00C8169C">
        <w:rPr>
          <w:rFonts w:ascii="Arial" w:hAnsi="Arial" w:cs="Arial"/>
          <w:b/>
          <w:color w:val="00B050"/>
        </w:rPr>
        <w:t xml:space="preserve"> </w:t>
      </w:r>
      <w:r w:rsidR="00A409F1">
        <w:rPr>
          <w:rFonts w:ascii="Arial" w:hAnsi="Arial" w:cs="Arial"/>
          <w:b/>
          <w:color w:val="00B050"/>
        </w:rPr>
        <w:t>d</w:t>
      </w:r>
      <w:r w:rsidR="00A31477">
        <w:rPr>
          <w:rFonts w:ascii="Arial" w:hAnsi="Arial" w:cs="Arial"/>
          <w:b/>
          <w:color w:val="00B050"/>
        </w:rPr>
        <w:t xml:space="preserve">e </w:t>
      </w:r>
      <w:r w:rsidR="00A409F1">
        <w:rPr>
          <w:rFonts w:ascii="Arial" w:hAnsi="Arial" w:cs="Arial"/>
          <w:b/>
          <w:color w:val="00B050"/>
        </w:rPr>
        <w:t>c</w:t>
      </w:r>
      <w:r w:rsidR="00A31477">
        <w:rPr>
          <w:rFonts w:ascii="Arial" w:hAnsi="Arial" w:cs="Arial"/>
          <w:b/>
          <w:color w:val="00B050"/>
        </w:rPr>
        <w:t xml:space="preserve">e point, </w:t>
      </w:r>
      <w:r w:rsidR="00C8169C">
        <w:rPr>
          <w:rFonts w:ascii="Arial" w:hAnsi="Arial" w:cs="Arial"/>
          <w:b/>
          <w:color w:val="00B050"/>
        </w:rPr>
        <w:t xml:space="preserve">le haut de 0.65 servira de résistance. </w:t>
      </w:r>
      <w:r w:rsidR="00A31477">
        <w:rPr>
          <w:rFonts w:ascii="Arial" w:hAnsi="Arial" w:cs="Arial"/>
          <w:b/>
          <w:color w:val="00B050"/>
        </w:rPr>
        <w:t xml:space="preserve">Sous 0.42, premier support sur 0.30 </w:t>
      </w:r>
      <w:r w:rsidR="00C8169C">
        <w:rPr>
          <w:rFonts w:ascii="Arial" w:hAnsi="Arial" w:cs="Arial"/>
          <w:b/>
          <w:color w:val="00B050"/>
        </w:rPr>
        <w:t>suivi en cassure de 0.19.</w:t>
      </w:r>
    </w:p>
    <w:p w:rsidR="00804BD3" w:rsidRDefault="00804BD3" w:rsidP="00732E1A">
      <w:pPr>
        <w:jc w:val="both"/>
        <w:rPr>
          <w:rFonts w:ascii="Arial" w:hAnsi="Arial" w:cs="Arial"/>
          <w:b/>
          <w:color w:val="00B050"/>
        </w:rPr>
      </w:pPr>
    </w:p>
    <w:p w:rsidR="00A800B4" w:rsidRDefault="00A800B4" w:rsidP="00732E1A">
      <w:pPr>
        <w:jc w:val="both"/>
        <w:rPr>
          <w:rFonts w:ascii="Arial" w:hAnsi="Arial" w:cs="Arial"/>
          <w:b/>
          <w:color w:val="00B050"/>
        </w:rPr>
      </w:pPr>
    </w:p>
    <w:p w:rsidR="00804BD3" w:rsidRDefault="00804BD3" w:rsidP="00732E1A">
      <w:pPr>
        <w:jc w:val="both"/>
        <w:rPr>
          <w:rFonts w:ascii="Arial" w:hAnsi="Arial" w:cs="Arial"/>
          <w:b/>
          <w:color w:val="00B050"/>
        </w:rPr>
      </w:pPr>
    </w:p>
    <w:p w:rsidR="00804BD3" w:rsidRDefault="00804BD3" w:rsidP="00732E1A">
      <w:pPr>
        <w:jc w:val="both"/>
        <w:rPr>
          <w:rFonts w:ascii="Arial" w:hAnsi="Arial" w:cs="Arial"/>
          <w:b/>
          <w:color w:val="00B050"/>
        </w:rPr>
      </w:pPr>
    </w:p>
    <w:p w:rsidR="00804BD3" w:rsidRPr="00804BD3" w:rsidRDefault="00804BD3" w:rsidP="00732E1A">
      <w:pPr>
        <w:jc w:val="both"/>
        <w:rPr>
          <w:rFonts w:ascii="Arial" w:hAnsi="Arial" w:cs="Arial"/>
          <w:b/>
          <w:color w:val="00B050"/>
        </w:rPr>
      </w:pPr>
    </w:p>
    <w:p w:rsidR="00E60B59" w:rsidRPr="00804BD3" w:rsidRDefault="003E1B3F" w:rsidP="003952D7">
      <w:pPr>
        <w:jc w:val="both"/>
        <w:rPr>
          <w:rFonts w:ascii="Arial" w:hAnsi="Arial" w:cs="Arial"/>
          <w:b/>
          <w:bCs/>
          <w:sz w:val="36"/>
          <w:szCs w:val="36"/>
          <w:u w:val="single"/>
        </w:rPr>
      </w:pPr>
      <w:r w:rsidRPr="00804BD3">
        <w:rPr>
          <w:rFonts w:ascii="Arial" w:hAnsi="Arial" w:cs="Arial"/>
          <w:b/>
          <w:color w:val="FF0000"/>
        </w:rPr>
        <w:t xml:space="preserve">                                          </w:t>
      </w:r>
      <w:r w:rsidRPr="00804BD3">
        <w:rPr>
          <w:rFonts w:ascii="Arial" w:hAnsi="Arial" w:cs="Arial"/>
          <w:b/>
          <w:bCs/>
          <w:sz w:val="36"/>
          <w:szCs w:val="36"/>
          <w:u w:val="single"/>
        </w:rPr>
        <w:t>BUND</w:t>
      </w:r>
      <w:r w:rsidR="00E60B59" w:rsidRPr="00804BD3">
        <w:rPr>
          <w:rFonts w:ascii="Arial" w:hAnsi="Arial" w:cs="Arial"/>
          <w:b/>
          <w:bCs/>
          <w:sz w:val="36"/>
          <w:szCs w:val="36"/>
          <w:u w:val="single"/>
        </w:rPr>
        <w:t xml:space="preserve">   (week)</w:t>
      </w:r>
    </w:p>
    <w:p w:rsidR="00BA1E3D" w:rsidRPr="00804BD3" w:rsidRDefault="00BA1E3D" w:rsidP="003952D7">
      <w:pPr>
        <w:jc w:val="both"/>
        <w:rPr>
          <w:rFonts w:ascii="Arial" w:hAnsi="Arial" w:cs="Arial"/>
          <w:b/>
          <w:bCs/>
          <w:sz w:val="36"/>
          <w:szCs w:val="36"/>
          <w:u w:val="single"/>
        </w:rPr>
      </w:pPr>
    </w:p>
    <w:p w:rsidR="00BA1E3D" w:rsidRPr="000D72F9" w:rsidRDefault="00AA580A" w:rsidP="003952D7">
      <w:pPr>
        <w:jc w:val="both"/>
        <w:rPr>
          <w:rFonts w:ascii="Arial" w:hAnsi="Arial" w:cs="Arial"/>
          <w:b/>
          <w:bCs/>
          <w:sz w:val="36"/>
          <w:szCs w:val="36"/>
          <w:u w:val="single"/>
          <w:lang w:val="en-US"/>
        </w:rPr>
      </w:pPr>
      <w:r>
        <w:rPr>
          <w:noProof/>
        </w:rPr>
        <w:drawing>
          <wp:inline distT="0" distB="0" distL="0" distR="0" wp14:anchorId="7783FE00" wp14:editId="5A7212A9">
            <wp:extent cx="6645910" cy="5306060"/>
            <wp:effectExtent l="0" t="0" r="254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5306060"/>
                    </a:xfrm>
                    <a:prstGeom prst="rect">
                      <a:avLst/>
                    </a:prstGeom>
                  </pic:spPr>
                </pic:pic>
              </a:graphicData>
            </a:graphic>
          </wp:inline>
        </w:drawing>
      </w:r>
    </w:p>
    <w:p w:rsidR="003E1B3F" w:rsidRPr="000D72F9" w:rsidRDefault="003E1B3F" w:rsidP="003952D7">
      <w:pPr>
        <w:jc w:val="both"/>
        <w:rPr>
          <w:rFonts w:ascii="Arial" w:hAnsi="Arial" w:cs="Arial"/>
          <w:b/>
          <w:color w:val="FF0000"/>
          <w:lang w:val="en-US"/>
        </w:rPr>
      </w:pPr>
    </w:p>
    <w:p w:rsidR="003E1B3F" w:rsidRPr="000D72F9" w:rsidRDefault="003E1B3F" w:rsidP="003952D7">
      <w:pPr>
        <w:jc w:val="both"/>
        <w:rPr>
          <w:rFonts w:ascii="Arial" w:hAnsi="Arial" w:cs="Arial"/>
          <w:b/>
          <w:color w:val="FF0000"/>
          <w:lang w:val="en-US"/>
        </w:rPr>
      </w:pPr>
    </w:p>
    <w:p w:rsidR="00BD3A17" w:rsidRDefault="00DE7494" w:rsidP="00FD5E11">
      <w:pPr>
        <w:jc w:val="both"/>
        <w:rPr>
          <w:rFonts w:ascii="Tahoma" w:hAnsi="Tahoma" w:cs="Tahoma"/>
        </w:rPr>
      </w:pPr>
      <w:r w:rsidRPr="00583E6E">
        <w:rPr>
          <w:rFonts w:ascii="Tahoma" w:hAnsi="Tahoma" w:cs="Tahoma"/>
        </w:rPr>
        <w:t>- La</w:t>
      </w:r>
      <w:r w:rsidR="00BD3A17" w:rsidRPr="00583E6E">
        <w:rPr>
          <w:rFonts w:ascii="Tahoma" w:hAnsi="Tahoma" w:cs="Tahoma"/>
        </w:rPr>
        <w:t xml:space="preserve"> </w:t>
      </w:r>
      <w:r w:rsidR="00583E6E" w:rsidRPr="00583E6E">
        <w:rPr>
          <w:rFonts w:ascii="Tahoma" w:hAnsi="Tahoma" w:cs="Tahoma"/>
        </w:rPr>
        <w:t>taille d</w:t>
      </w:r>
      <w:r w:rsidR="00583E6E">
        <w:rPr>
          <w:rFonts w:ascii="Tahoma" w:hAnsi="Tahoma" w:cs="Tahoma"/>
        </w:rPr>
        <w:t xml:space="preserve">es mèches des deux derniers chandeliers indique que </w:t>
      </w:r>
      <w:r w:rsidR="00A801C3">
        <w:rPr>
          <w:rFonts w:ascii="Tahoma" w:hAnsi="Tahoma" w:cs="Tahoma"/>
        </w:rPr>
        <w:t>les intervenants</w:t>
      </w:r>
      <w:r w:rsidR="00583E6E">
        <w:rPr>
          <w:rFonts w:ascii="Tahoma" w:hAnsi="Tahoma" w:cs="Tahoma"/>
        </w:rPr>
        <w:t xml:space="preserve"> manque</w:t>
      </w:r>
      <w:r w:rsidR="00A801C3">
        <w:rPr>
          <w:rFonts w:ascii="Tahoma" w:hAnsi="Tahoma" w:cs="Tahoma"/>
        </w:rPr>
        <w:t>nt</w:t>
      </w:r>
      <w:r w:rsidR="00583E6E">
        <w:rPr>
          <w:rFonts w:ascii="Tahoma" w:hAnsi="Tahoma" w:cs="Tahoma"/>
        </w:rPr>
        <w:t xml:space="preserve"> de conviction.</w:t>
      </w:r>
    </w:p>
    <w:p w:rsidR="00583E6E" w:rsidRDefault="00583E6E" w:rsidP="00FD5E11">
      <w:pPr>
        <w:jc w:val="both"/>
        <w:rPr>
          <w:rFonts w:ascii="Tahoma" w:hAnsi="Tahoma" w:cs="Tahoma"/>
        </w:rPr>
      </w:pPr>
    </w:p>
    <w:p w:rsidR="00583E6E" w:rsidRDefault="00583E6E" w:rsidP="00FD5E11">
      <w:pPr>
        <w:jc w:val="both"/>
        <w:rPr>
          <w:rFonts w:ascii="Tahoma" w:hAnsi="Tahoma" w:cs="Tahoma"/>
        </w:rPr>
      </w:pPr>
      <w:r>
        <w:rPr>
          <w:rFonts w:ascii="Tahoma" w:hAnsi="Tahoma" w:cs="Tahoma"/>
        </w:rPr>
        <w:t xml:space="preserve">- La fusion de ces deux </w:t>
      </w:r>
      <w:r w:rsidR="000D6D9D">
        <w:rPr>
          <w:rFonts w:ascii="Tahoma" w:hAnsi="Tahoma" w:cs="Tahoma"/>
        </w:rPr>
        <w:t xml:space="preserve">bougies </w:t>
      </w:r>
      <w:r w:rsidR="00A801C3">
        <w:rPr>
          <w:rFonts w:ascii="Tahoma" w:hAnsi="Tahoma" w:cs="Tahoma"/>
        </w:rPr>
        <w:t>traduit la perte de sens du marché.</w:t>
      </w:r>
    </w:p>
    <w:p w:rsidR="00A801C3" w:rsidRDefault="00A801C3" w:rsidP="00FD5E11">
      <w:pPr>
        <w:jc w:val="both"/>
        <w:rPr>
          <w:rFonts w:ascii="Tahoma" w:hAnsi="Tahoma" w:cs="Tahoma"/>
        </w:rPr>
      </w:pPr>
    </w:p>
    <w:p w:rsidR="00A801C3" w:rsidRDefault="00A801C3" w:rsidP="00FD5E11">
      <w:pPr>
        <w:jc w:val="both"/>
        <w:rPr>
          <w:rFonts w:ascii="Tahoma" w:hAnsi="Tahoma" w:cs="Tahoma"/>
        </w:rPr>
      </w:pPr>
      <w:r>
        <w:rPr>
          <w:rFonts w:ascii="Tahoma" w:hAnsi="Tahoma" w:cs="Tahoma"/>
        </w:rPr>
        <w:t>- Sur un sommet de type de bougie est une alerte qui débouche</w:t>
      </w:r>
      <w:r w:rsidR="00A409F1">
        <w:rPr>
          <w:rFonts w:ascii="Tahoma" w:hAnsi="Tahoma" w:cs="Tahoma"/>
        </w:rPr>
        <w:t xml:space="preserve"> le plus</w:t>
      </w:r>
      <w:r>
        <w:rPr>
          <w:rFonts w:ascii="Tahoma" w:hAnsi="Tahoma" w:cs="Tahoma"/>
        </w:rPr>
        <w:t xml:space="preserve"> souvent sur un retournement.</w:t>
      </w:r>
    </w:p>
    <w:p w:rsidR="00A801C3" w:rsidRDefault="00A801C3" w:rsidP="00FD5E11">
      <w:pPr>
        <w:jc w:val="both"/>
        <w:rPr>
          <w:rFonts w:ascii="Tahoma" w:hAnsi="Tahoma" w:cs="Tahoma"/>
        </w:rPr>
      </w:pPr>
    </w:p>
    <w:p w:rsidR="00A801C3" w:rsidRDefault="00A801C3" w:rsidP="00FD5E11">
      <w:pPr>
        <w:jc w:val="both"/>
        <w:rPr>
          <w:rFonts w:ascii="Tahoma" w:hAnsi="Tahoma" w:cs="Tahoma"/>
        </w:rPr>
      </w:pPr>
      <w:r>
        <w:rPr>
          <w:rFonts w:ascii="Tahoma" w:hAnsi="Tahoma" w:cs="Tahoma"/>
        </w:rPr>
        <w:t xml:space="preserve">- Ce retournement sera limité en amplitude et </w:t>
      </w:r>
      <w:r w:rsidR="00A0762B">
        <w:rPr>
          <w:rFonts w:ascii="Tahoma" w:hAnsi="Tahoma" w:cs="Tahoma"/>
        </w:rPr>
        <w:t>ramènera</w:t>
      </w:r>
      <w:r>
        <w:rPr>
          <w:rFonts w:ascii="Tahoma" w:hAnsi="Tahoma" w:cs="Tahoma"/>
        </w:rPr>
        <w:t xml:space="preserve"> les prix sur 157.86, centre de la dérive latérale comprise entre 159.70 et 161.10.</w:t>
      </w:r>
    </w:p>
    <w:p w:rsidR="0018460F" w:rsidRDefault="0018460F" w:rsidP="00FD5E11">
      <w:pPr>
        <w:jc w:val="both"/>
        <w:rPr>
          <w:rFonts w:ascii="Tahoma" w:hAnsi="Tahoma" w:cs="Tahoma"/>
        </w:rPr>
      </w:pPr>
    </w:p>
    <w:p w:rsidR="0018460F" w:rsidRPr="00583E6E" w:rsidRDefault="0018460F" w:rsidP="00FD5E11">
      <w:pPr>
        <w:jc w:val="both"/>
        <w:rPr>
          <w:rFonts w:ascii="Tahoma" w:hAnsi="Tahoma" w:cs="Tahoma"/>
        </w:rPr>
      </w:pPr>
      <w:r>
        <w:rPr>
          <w:rFonts w:ascii="Tahoma" w:hAnsi="Tahoma" w:cs="Tahoma"/>
        </w:rPr>
        <w:t>- Les plats Ichimoku indiquent que le marché n’est pas en tendance et favorisent le scénario de consolidation.</w:t>
      </w:r>
    </w:p>
    <w:p w:rsidR="005A5601" w:rsidRPr="00583E6E" w:rsidRDefault="005A5601" w:rsidP="00AB20FB">
      <w:pPr>
        <w:jc w:val="both"/>
        <w:rPr>
          <w:rFonts w:ascii="Tahoma" w:hAnsi="Tahoma" w:cs="Tahoma"/>
        </w:rPr>
      </w:pPr>
    </w:p>
    <w:p w:rsidR="005A5601" w:rsidRPr="00583E6E" w:rsidRDefault="005A5601" w:rsidP="00AB20FB">
      <w:pPr>
        <w:jc w:val="both"/>
        <w:rPr>
          <w:rFonts w:ascii="Tahoma" w:hAnsi="Tahoma" w:cs="Tahoma"/>
        </w:rPr>
      </w:pPr>
    </w:p>
    <w:p w:rsidR="005A5601" w:rsidRPr="00583E6E" w:rsidRDefault="005A5601" w:rsidP="00AB20FB">
      <w:pPr>
        <w:jc w:val="both"/>
        <w:rPr>
          <w:rFonts w:ascii="Tahoma" w:hAnsi="Tahoma" w:cs="Tahoma"/>
        </w:rPr>
      </w:pPr>
    </w:p>
    <w:p w:rsidR="005A5601" w:rsidRPr="00583E6E" w:rsidRDefault="005A5601" w:rsidP="00AB20FB">
      <w:pPr>
        <w:jc w:val="both"/>
        <w:rPr>
          <w:rFonts w:ascii="Tahoma" w:hAnsi="Tahoma" w:cs="Tahoma"/>
        </w:rPr>
      </w:pPr>
    </w:p>
    <w:p w:rsidR="00875D08" w:rsidRPr="00583E6E" w:rsidRDefault="00875D08" w:rsidP="00AB20FB">
      <w:pPr>
        <w:jc w:val="both"/>
        <w:rPr>
          <w:rFonts w:ascii="Tahoma" w:hAnsi="Tahoma" w:cs="Tahoma"/>
        </w:rPr>
      </w:pPr>
    </w:p>
    <w:p w:rsidR="00E60B59" w:rsidRPr="00583E6E" w:rsidRDefault="00B35DBD" w:rsidP="003952D7">
      <w:pPr>
        <w:jc w:val="both"/>
        <w:rPr>
          <w:rFonts w:ascii="Arial" w:hAnsi="Arial" w:cs="Arial"/>
          <w:b/>
          <w:bCs/>
          <w:sz w:val="36"/>
          <w:szCs w:val="36"/>
          <w:u w:val="single"/>
        </w:rPr>
      </w:pPr>
      <w:r w:rsidRPr="00583E6E">
        <w:rPr>
          <w:rFonts w:ascii="Tahoma" w:hAnsi="Tahoma" w:cs="Tahoma"/>
        </w:rPr>
        <w:t xml:space="preserve">                                       </w:t>
      </w:r>
      <w:r w:rsidRPr="00583E6E">
        <w:rPr>
          <w:rFonts w:ascii="Arial" w:hAnsi="Arial" w:cs="Arial"/>
          <w:b/>
          <w:bCs/>
          <w:sz w:val="36"/>
          <w:szCs w:val="36"/>
          <w:u w:val="single"/>
        </w:rPr>
        <w:t>BUND   (day)</w:t>
      </w:r>
    </w:p>
    <w:p w:rsidR="00B35DBD" w:rsidRPr="00583E6E" w:rsidRDefault="00B35DBD" w:rsidP="003952D7">
      <w:pPr>
        <w:jc w:val="both"/>
        <w:rPr>
          <w:rFonts w:ascii="Tahoma" w:hAnsi="Tahoma" w:cs="Tahoma"/>
        </w:rPr>
      </w:pPr>
    </w:p>
    <w:p w:rsidR="00B35DBD" w:rsidRPr="00AA580A" w:rsidRDefault="00CF61F0" w:rsidP="003952D7">
      <w:pPr>
        <w:jc w:val="both"/>
        <w:rPr>
          <w:rFonts w:ascii="Arial" w:hAnsi="Arial" w:cs="Arial"/>
          <w:b/>
          <w:color w:val="FF0000"/>
          <w:lang w:val="en-US"/>
        </w:rPr>
      </w:pPr>
      <w:r>
        <w:rPr>
          <w:noProof/>
        </w:rPr>
        <w:drawing>
          <wp:inline distT="0" distB="0" distL="0" distR="0" wp14:anchorId="27DA4D0A" wp14:editId="366D539D">
            <wp:extent cx="6645910" cy="5306060"/>
            <wp:effectExtent l="0" t="0" r="2540" b="889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5306060"/>
                    </a:xfrm>
                    <a:prstGeom prst="rect">
                      <a:avLst/>
                    </a:prstGeom>
                  </pic:spPr>
                </pic:pic>
              </a:graphicData>
            </a:graphic>
          </wp:inline>
        </w:drawing>
      </w:r>
    </w:p>
    <w:p w:rsidR="00A84247" w:rsidRPr="00AA580A" w:rsidRDefault="00A84247" w:rsidP="003952D7">
      <w:pPr>
        <w:jc w:val="both"/>
        <w:rPr>
          <w:rFonts w:ascii="Arial" w:hAnsi="Arial" w:cs="Arial"/>
          <w:b/>
          <w:lang w:val="en-US"/>
        </w:rPr>
      </w:pPr>
    </w:p>
    <w:p w:rsidR="00B35DBD" w:rsidRPr="00AA580A" w:rsidRDefault="00B35DBD" w:rsidP="003952D7">
      <w:pPr>
        <w:jc w:val="both"/>
        <w:rPr>
          <w:rFonts w:ascii="Arial" w:hAnsi="Arial" w:cs="Arial"/>
          <w:b/>
          <w:color w:val="FF0000"/>
          <w:lang w:val="en-US"/>
        </w:rPr>
      </w:pPr>
    </w:p>
    <w:p w:rsidR="00930CE7" w:rsidRDefault="003C27DA" w:rsidP="00FD5E11">
      <w:pPr>
        <w:jc w:val="both"/>
        <w:rPr>
          <w:rFonts w:ascii="Tahoma" w:hAnsi="Tahoma" w:cs="Tahoma"/>
        </w:rPr>
      </w:pPr>
      <w:r w:rsidRPr="00930CE7">
        <w:rPr>
          <w:rFonts w:ascii="Tahoma" w:hAnsi="Tahoma" w:cs="Tahoma"/>
        </w:rPr>
        <w:t xml:space="preserve">- </w:t>
      </w:r>
      <w:r w:rsidR="00141BFC" w:rsidRPr="00930CE7">
        <w:rPr>
          <w:rFonts w:ascii="Tahoma" w:hAnsi="Tahoma" w:cs="Tahoma"/>
        </w:rPr>
        <w:t>L</w:t>
      </w:r>
      <w:r w:rsidR="00930CE7" w:rsidRPr="00930CE7">
        <w:rPr>
          <w:rFonts w:ascii="Tahoma" w:hAnsi="Tahoma" w:cs="Tahoma"/>
        </w:rPr>
        <w:t xml:space="preserve">’absence </w:t>
      </w:r>
      <w:r w:rsidR="00930CE7">
        <w:rPr>
          <w:rFonts w:ascii="Tahoma" w:hAnsi="Tahoma" w:cs="Tahoma"/>
        </w:rPr>
        <w:t xml:space="preserve">de conviction est visible à travers des chandeliers sans corps vrais et à longues </w:t>
      </w:r>
      <w:r w:rsidR="00A0762B">
        <w:rPr>
          <w:rFonts w:ascii="Tahoma" w:hAnsi="Tahoma" w:cs="Tahoma"/>
        </w:rPr>
        <w:t>mèches</w:t>
      </w:r>
      <w:r w:rsidR="00930CE7">
        <w:rPr>
          <w:rFonts w:ascii="Tahoma" w:hAnsi="Tahoma" w:cs="Tahoma"/>
        </w:rPr>
        <w:t>.</w:t>
      </w:r>
    </w:p>
    <w:p w:rsidR="00930CE7" w:rsidRDefault="00930CE7" w:rsidP="00FD5E11">
      <w:pPr>
        <w:jc w:val="both"/>
        <w:rPr>
          <w:rFonts w:ascii="Tahoma" w:hAnsi="Tahoma" w:cs="Tahoma"/>
        </w:rPr>
      </w:pPr>
    </w:p>
    <w:p w:rsidR="00CF61F0" w:rsidRDefault="00930CE7" w:rsidP="00FD5E11">
      <w:pPr>
        <w:jc w:val="both"/>
        <w:rPr>
          <w:rFonts w:ascii="Tahoma" w:hAnsi="Tahoma" w:cs="Tahoma"/>
        </w:rPr>
      </w:pPr>
      <w:r>
        <w:rPr>
          <w:rFonts w:ascii="Tahoma" w:hAnsi="Tahoma" w:cs="Tahoma"/>
        </w:rPr>
        <w:t>-</w:t>
      </w:r>
      <w:r w:rsidR="00617226">
        <w:rPr>
          <w:rFonts w:ascii="Tahoma" w:hAnsi="Tahoma" w:cs="Tahoma"/>
        </w:rPr>
        <w:t xml:space="preserve"> Au sein de ce range d’hésitation, la KS de 160.78 sert de point médian. Son plat servira de force de rappel tant que le marché n’aura pas trouvé une direction </w:t>
      </w:r>
      <w:r w:rsidR="00CF61F0">
        <w:rPr>
          <w:rFonts w:ascii="Tahoma" w:hAnsi="Tahoma" w:cs="Tahoma"/>
        </w:rPr>
        <w:t>et de la conviction.</w:t>
      </w:r>
    </w:p>
    <w:p w:rsidR="00CF61F0" w:rsidRDefault="00CF61F0" w:rsidP="00FD5E11">
      <w:pPr>
        <w:jc w:val="both"/>
        <w:rPr>
          <w:rFonts w:ascii="Tahoma" w:hAnsi="Tahoma" w:cs="Tahoma"/>
        </w:rPr>
      </w:pPr>
    </w:p>
    <w:p w:rsidR="00E044F2" w:rsidRPr="00930CE7" w:rsidRDefault="00E044F2" w:rsidP="007A5656">
      <w:pPr>
        <w:jc w:val="both"/>
        <w:rPr>
          <w:rFonts w:ascii="Tahoma" w:hAnsi="Tahoma" w:cs="Tahoma"/>
        </w:rPr>
      </w:pPr>
    </w:p>
    <w:p w:rsidR="00E044F2" w:rsidRPr="00930CE7" w:rsidRDefault="00E044F2" w:rsidP="007A5656">
      <w:pPr>
        <w:jc w:val="both"/>
        <w:rPr>
          <w:rFonts w:ascii="Tahoma" w:hAnsi="Tahoma" w:cs="Tahoma"/>
        </w:rPr>
      </w:pPr>
    </w:p>
    <w:p w:rsidR="008F40E5" w:rsidRPr="00930CE7" w:rsidRDefault="008F40E5" w:rsidP="00457643">
      <w:pPr>
        <w:jc w:val="both"/>
        <w:rPr>
          <w:rFonts w:ascii="Tahoma" w:hAnsi="Tahoma" w:cs="Tahoma"/>
        </w:rPr>
      </w:pPr>
    </w:p>
    <w:p w:rsidR="007658F2" w:rsidRPr="00930CE7" w:rsidRDefault="007658F2" w:rsidP="00457643">
      <w:pPr>
        <w:jc w:val="both"/>
        <w:rPr>
          <w:rFonts w:ascii="Tahoma" w:hAnsi="Tahoma" w:cs="Tahoma"/>
        </w:rPr>
      </w:pPr>
      <w:r w:rsidRPr="00930CE7">
        <w:rPr>
          <w:rFonts w:ascii="Tahoma" w:hAnsi="Tahoma" w:cs="Tahoma"/>
        </w:rPr>
        <w:t xml:space="preserve"> </w:t>
      </w:r>
    </w:p>
    <w:p w:rsidR="002B4084" w:rsidRPr="00930CE7" w:rsidRDefault="002B4084" w:rsidP="00F72829">
      <w:pPr>
        <w:jc w:val="both"/>
        <w:rPr>
          <w:rFonts w:ascii="Tahoma" w:hAnsi="Tahoma" w:cs="Tahoma"/>
        </w:rPr>
      </w:pPr>
    </w:p>
    <w:p w:rsidR="00B65AF1" w:rsidRPr="00930CE7" w:rsidRDefault="00B65AF1" w:rsidP="00F72829">
      <w:pPr>
        <w:jc w:val="both"/>
        <w:rPr>
          <w:rFonts w:ascii="Tahoma" w:hAnsi="Tahoma" w:cs="Tahoma"/>
        </w:rPr>
      </w:pPr>
    </w:p>
    <w:p w:rsidR="00A30EF5" w:rsidRPr="00930CE7" w:rsidRDefault="00A30EF5" w:rsidP="00F72829">
      <w:pPr>
        <w:jc w:val="both"/>
        <w:rPr>
          <w:rFonts w:ascii="Tahoma" w:hAnsi="Tahoma" w:cs="Tahoma"/>
        </w:rPr>
      </w:pPr>
    </w:p>
    <w:p w:rsidR="00B81C31" w:rsidRPr="00930CE7" w:rsidRDefault="00B81C31" w:rsidP="00F72829">
      <w:pPr>
        <w:jc w:val="both"/>
        <w:rPr>
          <w:rFonts w:ascii="Tahoma" w:hAnsi="Tahoma" w:cs="Tahoma"/>
        </w:rPr>
      </w:pPr>
    </w:p>
    <w:p w:rsidR="00F72829" w:rsidRPr="00930CE7" w:rsidRDefault="004E02D3" w:rsidP="008F40E5">
      <w:pPr>
        <w:jc w:val="both"/>
        <w:rPr>
          <w:rFonts w:ascii="Arial" w:hAnsi="Arial" w:cs="Arial"/>
          <w:b/>
          <w:bCs/>
          <w:sz w:val="36"/>
          <w:szCs w:val="36"/>
          <w:u w:val="single"/>
        </w:rPr>
      </w:pPr>
      <w:r w:rsidRPr="00930CE7">
        <w:rPr>
          <w:rFonts w:ascii="Arial" w:hAnsi="Arial" w:cs="Arial"/>
          <w:b/>
          <w:bCs/>
          <w:sz w:val="28"/>
          <w:szCs w:val="28"/>
        </w:rPr>
        <w:t xml:space="preserve"> </w:t>
      </w:r>
      <w:r w:rsidR="00F72829" w:rsidRPr="00930CE7">
        <w:rPr>
          <w:rFonts w:ascii="Arial" w:hAnsi="Arial" w:cs="Arial"/>
          <w:b/>
          <w:bCs/>
          <w:sz w:val="28"/>
          <w:szCs w:val="28"/>
        </w:rPr>
        <w:t xml:space="preserve">                                     </w:t>
      </w:r>
      <w:r w:rsidR="00F72829" w:rsidRPr="00930CE7">
        <w:rPr>
          <w:rFonts w:ascii="Arial" w:hAnsi="Arial" w:cs="Arial"/>
          <w:b/>
          <w:bCs/>
          <w:sz w:val="36"/>
          <w:szCs w:val="36"/>
          <w:u w:val="single"/>
        </w:rPr>
        <w:t xml:space="preserve">10 ans USA </w:t>
      </w:r>
    </w:p>
    <w:p w:rsidR="00F72829" w:rsidRPr="00930CE7" w:rsidRDefault="00F72829" w:rsidP="00BE257A">
      <w:pPr>
        <w:jc w:val="both"/>
        <w:rPr>
          <w:rFonts w:ascii="Arial" w:hAnsi="Arial" w:cs="Arial"/>
          <w:b/>
          <w:sz w:val="28"/>
          <w:szCs w:val="28"/>
          <w:u w:val="single"/>
        </w:rPr>
      </w:pPr>
      <w:r w:rsidRPr="00930CE7">
        <w:rPr>
          <w:rFonts w:ascii="Arial" w:hAnsi="Arial" w:cs="Arial"/>
          <w:b/>
          <w:sz w:val="28"/>
          <w:szCs w:val="28"/>
          <w:u w:val="single"/>
        </w:rPr>
        <w:t>Monthly</w:t>
      </w:r>
    </w:p>
    <w:p w:rsidR="00B03AED" w:rsidRPr="00501F69" w:rsidRDefault="00ED185D" w:rsidP="00B65AF1">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5467" cy="4364182"/>
            <wp:effectExtent l="0" t="0" r="3175" b="0"/>
            <wp:docPr id="9" name="Image 9" descr="C:\Temp\Bloomberg\temp\bfmF3F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F3F8.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0214" cy="4367299"/>
                    </a:xfrm>
                    <a:prstGeom prst="rect">
                      <a:avLst/>
                    </a:prstGeom>
                    <a:noFill/>
                    <a:ln>
                      <a:noFill/>
                    </a:ln>
                  </pic:spPr>
                </pic:pic>
              </a:graphicData>
            </a:graphic>
          </wp:inline>
        </w:drawing>
      </w:r>
    </w:p>
    <w:p w:rsidR="00B03AED" w:rsidRPr="00501F69" w:rsidRDefault="00B03AED" w:rsidP="006E6472">
      <w:pPr>
        <w:jc w:val="both"/>
        <w:rPr>
          <w:rFonts w:ascii="Arial" w:hAnsi="Arial" w:cs="Arial"/>
          <w:b/>
          <w:bCs/>
          <w:sz w:val="28"/>
          <w:szCs w:val="28"/>
          <w:u w:val="single"/>
          <w:lang w:val="en-US"/>
        </w:rPr>
      </w:pPr>
      <w:r w:rsidRPr="00501F69">
        <w:rPr>
          <w:rFonts w:ascii="Arial" w:hAnsi="Arial" w:cs="Arial"/>
          <w:b/>
          <w:bCs/>
          <w:sz w:val="28"/>
          <w:szCs w:val="28"/>
          <w:u w:val="single"/>
          <w:lang w:val="en-US"/>
        </w:rPr>
        <w:t>Weekly</w:t>
      </w:r>
    </w:p>
    <w:p w:rsidR="006E6472" w:rsidRPr="00501F69" w:rsidRDefault="00ED185D" w:rsidP="00B65AF1">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5275" cy="4329545"/>
            <wp:effectExtent l="0" t="0" r="3175" b="0"/>
            <wp:docPr id="8" name="Image 8" descr="C:\Temp\Bloomberg\temp\bfm93B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93BF.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7935" cy="4331278"/>
                    </a:xfrm>
                    <a:prstGeom prst="rect">
                      <a:avLst/>
                    </a:prstGeom>
                    <a:noFill/>
                    <a:ln>
                      <a:noFill/>
                    </a:ln>
                  </pic:spPr>
                </pic:pic>
              </a:graphicData>
            </a:graphic>
          </wp:inline>
        </w:drawing>
      </w:r>
    </w:p>
    <w:p w:rsidR="00B03AED" w:rsidRPr="00501F69" w:rsidRDefault="00A30EF5" w:rsidP="006E6472">
      <w:pPr>
        <w:ind w:left="-850"/>
        <w:jc w:val="both"/>
        <w:rPr>
          <w:rFonts w:ascii="Arial" w:hAnsi="Arial" w:cs="Arial"/>
          <w:b/>
          <w:bCs/>
          <w:sz w:val="28"/>
          <w:szCs w:val="28"/>
          <w:u w:val="single"/>
          <w:lang w:val="en-US"/>
        </w:rPr>
      </w:pPr>
      <w:r w:rsidRPr="00501F69">
        <w:rPr>
          <w:rFonts w:ascii="Arial" w:hAnsi="Arial" w:cs="Arial"/>
          <w:b/>
          <w:bCs/>
          <w:sz w:val="28"/>
          <w:szCs w:val="28"/>
          <w:lang w:val="en-US"/>
        </w:rPr>
        <w:t xml:space="preserve">       </w:t>
      </w:r>
      <w:r w:rsidR="00B4277F" w:rsidRPr="00501F69">
        <w:rPr>
          <w:rFonts w:ascii="Arial" w:hAnsi="Arial" w:cs="Arial"/>
          <w:b/>
          <w:bCs/>
          <w:sz w:val="28"/>
          <w:szCs w:val="28"/>
          <w:lang w:val="en-US"/>
        </w:rPr>
        <w:t xml:space="preserve">   </w:t>
      </w:r>
      <w:r w:rsidR="00B03AED" w:rsidRPr="00501F69">
        <w:rPr>
          <w:rFonts w:ascii="Arial" w:hAnsi="Arial" w:cs="Arial"/>
          <w:b/>
          <w:bCs/>
          <w:sz w:val="28"/>
          <w:szCs w:val="28"/>
          <w:u w:val="single"/>
          <w:lang w:val="en-US"/>
        </w:rPr>
        <w:t xml:space="preserve">Daily </w:t>
      </w:r>
    </w:p>
    <w:p w:rsidR="001A7163" w:rsidRPr="00501F69" w:rsidRDefault="00ED185D" w:rsidP="005622FD">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5910" cy="4787584"/>
            <wp:effectExtent l="0" t="0" r="2540" b="0"/>
            <wp:docPr id="7" name="Image 7" descr="C:\Temp\Bloomberg\temp\bfm811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8118.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4787584"/>
                    </a:xfrm>
                    <a:prstGeom prst="rect">
                      <a:avLst/>
                    </a:prstGeom>
                    <a:noFill/>
                    <a:ln>
                      <a:noFill/>
                    </a:ln>
                  </pic:spPr>
                </pic:pic>
              </a:graphicData>
            </a:graphic>
          </wp:inline>
        </w:drawing>
      </w:r>
    </w:p>
    <w:p w:rsidR="001A7163" w:rsidRDefault="00D2583B" w:rsidP="00F16B6C">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xml:space="preserve"> : </w:t>
      </w:r>
      <w:r w:rsidR="00F40F4B">
        <w:rPr>
          <w:rFonts w:ascii="Tahoma" w:hAnsi="Tahoma" w:cs="Tahoma"/>
        </w:rPr>
        <w:t>L’environnement</w:t>
      </w:r>
      <w:r w:rsidR="00F16B6C" w:rsidRPr="00F16B6C">
        <w:rPr>
          <w:rFonts w:ascii="Tahoma" w:hAnsi="Tahoma" w:cs="Tahoma"/>
        </w:rPr>
        <w:t xml:space="preserve"> est haussier sur le long terme.</w:t>
      </w:r>
      <w:r w:rsidR="00F16B6C">
        <w:rPr>
          <w:rFonts w:ascii="Tahoma" w:hAnsi="Tahoma" w:cs="Tahoma"/>
        </w:rPr>
        <w:t xml:space="preserve"> Dans ce contexte, le plat de nuage passé de 2.69 servira de support. Il est renforcé par la TS qui se situera en juin sur le même niveau.</w:t>
      </w:r>
    </w:p>
    <w:p w:rsidR="007C5980" w:rsidRPr="00F16B6C" w:rsidRDefault="007C5980" w:rsidP="00F16B6C">
      <w:pPr>
        <w:tabs>
          <w:tab w:val="left" w:pos="5868"/>
        </w:tabs>
        <w:autoSpaceDE w:val="0"/>
        <w:jc w:val="both"/>
        <w:rPr>
          <w:rFonts w:ascii="Tahoma" w:hAnsi="Tahoma" w:cs="Tahoma"/>
        </w:rPr>
      </w:pPr>
      <w:r>
        <w:rPr>
          <w:rFonts w:ascii="Tahoma" w:hAnsi="Tahoma" w:cs="Tahoma"/>
        </w:rPr>
        <w:t xml:space="preserve">Sur cette unité de temps, le maintien du marché </w:t>
      </w:r>
      <w:r w:rsidR="00A0762B">
        <w:rPr>
          <w:rFonts w:ascii="Tahoma" w:hAnsi="Tahoma" w:cs="Tahoma"/>
        </w:rPr>
        <w:t>au-dessus</w:t>
      </w:r>
      <w:r>
        <w:rPr>
          <w:rFonts w:ascii="Tahoma" w:hAnsi="Tahoma" w:cs="Tahoma"/>
        </w:rPr>
        <w:t xml:space="preserve"> du support de 2.69 donne un objectif à 3.6</w:t>
      </w:r>
      <w:r w:rsidR="00216FF9">
        <w:rPr>
          <w:rFonts w:ascii="Tahoma" w:hAnsi="Tahoma" w:cs="Tahoma"/>
        </w:rPr>
        <w:t>8</w:t>
      </w:r>
      <w:r w:rsidR="00F40F4B">
        <w:rPr>
          <w:rFonts w:ascii="Tahoma" w:hAnsi="Tahoma" w:cs="Tahoma"/>
        </w:rPr>
        <w:t>,</w:t>
      </w:r>
      <w:r>
        <w:rPr>
          <w:rFonts w:ascii="Tahoma" w:hAnsi="Tahoma" w:cs="Tahoma"/>
        </w:rPr>
        <w:t xml:space="preserve"> matérialisé par un plat de nuage passé.</w:t>
      </w:r>
    </w:p>
    <w:p w:rsidR="00D8157E" w:rsidRDefault="00D8157E" w:rsidP="00D2583B">
      <w:pPr>
        <w:tabs>
          <w:tab w:val="left" w:pos="5868"/>
        </w:tabs>
        <w:autoSpaceDE w:val="0"/>
        <w:jc w:val="both"/>
        <w:rPr>
          <w:rFonts w:ascii="Tahoma" w:hAnsi="Tahoma" w:cs="Tahoma"/>
        </w:rPr>
      </w:pPr>
    </w:p>
    <w:p w:rsidR="00D94E4A" w:rsidRPr="004D2E5B" w:rsidRDefault="00D2583B" w:rsidP="00FD5E11">
      <w:pPr>
        <w:jc w:val="both"/>
        <w:rPr>
          <w:rFonts w:ascii="Tahoma" w:hAnsi="Tahoma" w:cs="Tahoma"/>
        </w:rPr>
      </w:pPr>
      <w:bookmarkStart w:id="1" w:name="_Hlk510791573"/>
      <w:r w:rsidRPr="00F950A8">
        <w:rPr>
          <w:rFonts w:ascii="Arial" w:hAnsi="Arial" w:cs="Arial"/>
          <w:b/>
          <w:bCs/>
        </w:rPr>
        <w:t xml:space="preserve">W : </w:t>
      </w:r>
      <w:r w:rsidR="004D2E5B" w:rsidRPr="004D2E5B">
        <w:rPr>
          <w:rFonts w:ascii="Tahoma" w:hAnsi="Tahoma" w:cs="Tahoma"/>
        </w:rPr>
        <w:t>Le contexte est haussier sur le moyen terme</w:t>
      </w:r>
      <w:r w:rsidR="004D2E5B">
        <w:rPr>
          <w:rFonts w:ascii="Tahoma" w:hAnsi="Tahoma" w:cs="Tahoma"/>
        </w:rPr>
        <w:t xml:space="preserve"> où les courbes Ichimoku sont orientées à la hausse. Le taux progresse autour de sa TS</w:t>
      </w:r>
      <w:r w:rsidR="00F40F4B">
        <w:rPr>
          <w:rFonts w:ascii="Tahoma" w:hAnsi="Tahoma" w:cs="Tahoma"/>
        </w:rPr>
        <w:t>,</w:t>
      </w:r>
      <w:r w:rsidR="004D2E5B">
        <w:rPr>
          <w:rFonts w:ascii="Tahoma" w:hAnsi="Tahoma" w:cs="Tahoma"/>
        </w:rPr>
        <w:t xml:space="preserve"> et la KS sert de support. Ces courbes seront cette semaine respectivement sur 2.94 et 2.74.</w:t>
      </w:r>
    </w:p>
    <w:p w:rsidR="001259C9" w:rsidRPr="004D2E5B" w:rsidRDefault="001259C9" w:rsidP="001259C9">
      <w:pPr>
        <w:jc w:val="both"/>
        <w:rPr>
          <w:rFonts w:ascii="Tahoma" w:hAnsi="Tahoma" w:cs="Tahoma"/>
        </w:rPr>
      </w:pPr>
    </w:p>
    <w:p w:rsidR="00FA40A9" w:rsidRDefault="00CF7FF8" w:rsidP="00FD5E11">
      <w:pPr>
        <w:jc w:val="both"/>
        <w:rPr>
          <w:rFonts w:ascii="Tahoma" w:hAnsi="Tahoma" w:cs="Tahoma"/>
        </w:rPr>
      </w:pPr>
      <w:r w:rsidRPr="00F950A8">
        <w:rPr>
          <w:rFonts w:ascii="Arial" w:hAnsi="Arial" w:cs="Arial"/>
          <w:b/>
          <w:bCs/>
        </w:rPr>
        <w:t xml:space="preserve">D : </w:t>
      </w:r>
      <w:r w:rsidR="004D2E5B">
        <w:rPr>
          <w:rFonts w:ascii="Tahoma" w:hAnsi="Tahoma" w:cs="Tahoma"/>
        </w:rPr>
        <w:t>L</w:t>
      </w:r>
      <w:r w:rsidR="004D2E5B" w:rsidRPr="004D2E5B">
        <w:rPr>
          <w:rFonts w:ascii="Tahoma" w:hAnsi="Tahoma" w:cs="Tahoma"/>
        </w:rPr>
        <w:t xml:space="preserve">e marché pourrait entrer dans une phase de consolidation s’il ne parvient pas à dépasser le haut </w:t>
      </w:r>
      <w:r w:rsidR="00F40F4B">
        <w:rPr>
          <w:rFonts w:ascii="Tahoma" w:hAnsi="Tahoma" w:cs="Tahoma"/>
        </w:rPr>
        <w:t xml:space="preserve">réent </w:t>
      </w:r>
      <w:r w:rsidR="004D2E5B" w:rsidRPr="004D2E5B">
        <w:rPr>
          <w:rFonts w:ascii="Tahoma" w:hAnsi="Tahoma" w:cs="Tahoma"/>
        </w:rPr>
        <w:t>de 3.12.</w:t>
      </w:r>
      <w:r w:rsidR="00D86FC3">
        <w:rPr>
          <w:rFonts w:ascii="Tahoma" w:hAnsi="Tahoma" w:cs="Tahoma"/>
        </w:rPr>
        <w:t xml:space="preserve"> Dans ce cas, le plat de KS de 2.94 servira de point médian et permettra d’envisager soit la hausse soit la baisse en fonction de la position du 10 ans US par rapport à ce point</w:t>
      </w:r>
      <w:r w:rsidR="00585A3D">
        <w:rPr>
          <w:rFonts w:ascii="Tahoma" w:hAnsi="Tahoma" w:cs="Tahoma"/>
        </w:rPr>
        <w:t>.</w:t>
      </w:r>
    </w:p>
    <w:p w:rsidR="00585A3D" w:rsidRPr="004D2E5B" w:rsidRDefault="00A0762B" w:rsidP="00FD5E11">
      <w:pPr>
        <w:jc w:val="both"/>
        <w:rPr>
          <w:rFonts w:ascii="Tahoma" w:hAnsi="Tahoma" w:cs="Tahoma"/>
        </w:rPr>
      </w:pPr>
      <w:r>
        <w:rPr>
          <w:rFonts w:ascii="Tahoma" w:hAnsi="Tahoma" w:cs="Tahoma"/>
        </w:rPr>
        <w:t>Au-dessus</w:t>
      </w:r>
      <w:r w:rsidR="00585A3D">
        <w:rPr>
          <w:rFonts w:ascii="Tahoma" w:hAnsi="Tahoma" w:cs="Tahoma"/>
        </w:rPr>
        <w:t xml:space="preserve"> de 2.94 la résistance est </w:t>
      </w:r>
      <w:r w:rsidR="00F40F4B">
        <w:rPr>
          <w:rFonts w:ascii="Tahoma" w:hAnsi="Tahoma" w:cs="Tahoma"/>
        </w:rPr>
        <w:t>sur</w:t>
      </w:r>
      <w:r w:rsidR="00585A3D">
        <w:rPr>
          <w:rFonts w:ascii="Tahoma" w:hAnsi="Tahoma" w:cs="Tahoma"/>
        </w:rPr>
        <w:t xml:space="preserve"> 3.12. Sous 2.94, support à 2.87.</w:t>
      </w:r>
    </w:p>
    <w:bookmarkEnd w:id="1"/>
    <w:p w:rsidR="0093766C" w:rsidRPr="006E6472" w:rsidRDefault="00CF7FF8" w:rsidP="006E6472">
      <w:pPr>
        <w:jc w:val="both"/>
        <w:rPr>
          <w:rFonts w:ascii="Tahoma" w:hAnsi="Tahoma" w:cs="Tahoma"/>
          <w:bCs/>
        </w:rPr>
      </w:pPr>
      <w:r w:rsidRPr="00F950A8">
        <w:rPr>
          <w:rFonts w:ascii="Tahoma" w:hAnsi="Tahoma" w:cs="Tahoma"/>
          <w:bCs/>
        </w:rPr>
        <w:t xml:space="preserve">  </w:t>
      </w:r>
    </w:p>
    <w:p w:rsidR="00E47D77" w:rsidRPr="00C8169C" w:rsidRDefault="00F72829" w:rsidP="00C8169C">
      <w:pPr>
        <w:jc w:val="both"/>
        <w:rPr>
          <w:rFonts w:ascii="Arial" w:hAnsi="Arial" w:cs="Arial"/>
          <w:b/>
          <w:color w:val="00B050"/>
        </w:rPr>
      </w:pPr>
      <w:r w:rsidRPr="00C8169C">
        <w:rPr>
          <w:rFonts w:ascii="Arial" w:hAnsi="Arial" w:cs="Arial"/>
          <w:b/>
          <w:color w:val="00B050"/>
          <w:u w:val="single"/>
        </w:rPr>
        <w:t>HEBDOMADAIRE</w:t>
      </w:r>
      <w:r w:rsidRPr="00C8169C">
        <w:rPr>
          <w:rFonts w:ascii="Arial" w:hAnsi="Arial" w:cs="Arial"/>
          <w:b/>
          <w:color w:val="00B050"/>
        </w:rPr>
        <w:t xml:space="preserve"> : </w:t>
      </w:r>
      <w:r w:rsidR="00A0762B" w:rsidRPr="00C8169C">
        <w:rPr>
          <w:rFonts w:ascii="Arial" w:hAnsi="Arial" w:cs="Arial"/>
          <w:b/>
          <w:color w:val="00B050"/>
        </w:rPr>
        <w:t>Le contexte</w:t>
      </w:r>
      <w:r w:rsidR="00C8169C" w:rsidRPr="00C8169C">
        <w:rPr>
          <w:rFonts w:ascii="Arial" w:hAnsi="Arial" w:cs="Arial"/>
          <w:b/>
          <w:color w:val="00B050"/>
        </w:rPr>
        <w:t xml:space="preserve"> est haussier </w:t>
      </w:r>
      <w:r w:rsidR="00A0762B" w:rsidRPr="00C8169C">
        <w:rPr>
          <w:rFonts w:ascii="Arial" w:hAnsi="Arial" w:cs="Arial"/>
          <w:b/>
          <w:color w:val="00B050"/>
        </w:rPr>
        <w:t>au-dessus</w:t>
      </w:r>
      <w:r w:rsidR="00C8169C" w:rsidRPr="00C8169C">
        <w:rPr>
          <w:rFonts w:ascii="Arial" w:hAnsi="Arial" w:cs="Arial"/>
          <w:b/>
          <w:color w:val="00B050"/>
        </w:rPr>
        <w:t xml:space="preserve"> de 2.69. Pour le semaine le point médian se situera sur 2.94. </w:t>
      </w:r>
      <w:r w:rsidR="00A0762B" w:rsidRPr="00C8169C">
        <w:rPr>
          <w:rFonts w:ascii="Arial" w:hAnsi="Arial" w:cs="Arial"/>
          <w:b/>
          <w:color w:val="00B050"/>
        </w:rPr>
        <w:t>Au-dessus</w:t>
      </w:r>
      <w:r w:rsidR="00C8169C" w:rsidRPr="00C8169C">
        <w:rPr>
          <w:rFonts w:ascii="Arial" w:hAnsi="Arial" w:cs="Arial"/>
          <w:b/>
          <w:color w:val="00B050"/>
        </w:rPr>
        <w:t>, retour sur 3.12, en dessous le premier support se situera sur 2.87 avant 2.74. L’absence de dynamique de court terme limite la capacité du marché à casser des résistances ou des supports majeurs</w:t>
      </w:r>
    </w:p>
    <w:p w:rsidR="00C8169C" w:rsidRPr="00C8169C" w:rsidRDefault="00C8169C" w:rsidP="00C8169C">
      <w:pPr>
        <w:jc w:val="both"/>
        <w:rPr>
          <w:rFonts w:ascii="Arial" w:hAnsi="Arial" w:cs="Arial"/>
          <w:b/>
          <w:color w:val="00B050"/>
        </w:rPr>
      </w:pPr>
    </w:p>
    <w:p w:rsidR="00C8169C" w:rsidRDefault="00C8169C" w:rsidP="00C8169C">
      <w:pPr>
        <w:jc w:val="both"/>
        <w:rPr>
          <w:rFonts w:ascii="Arial" w:hAnsi="Arial" w:cs="Arial"/>
          <w:b/>
          <w:color w:val="FF0000"/>
        </w:rPr>
      </w:pPr>
    </w:p>
    <w:p w:rsidR="00D5598E" w:rsidRDefault="00D5598E" w:rsidP="00C8169C">
      <w:pPr>
        <w:jc w:val="both"/>
        <w:rPr>
          <w:rFonts w:ascii="Arial" w:hAnsi="Arial" w:cs="Arial"/>
          <w:b/>
          <w:color w:val="FF0000"/>
        </w:rPr>
      </w:pPr>
    </w:p>
    <w:p w:rsidR="00D5598E" w:rsidRDefault="00D5598E" w:rsidP="00C8169C">
      <w:pPr>
        <w:jc w:val="both"/>
        <w:rPr>
          <w:rFonts w:ascii="Arial" w:hAnsi="Arial" w:cs="Arial"/>
          <w:b/>
          <w:color w:val="FF0000"/>
        </w:rPr>
      </w:pPr>
    </w:p>
    <w:p w:rsidR="00C8169C" w:rsidRPr="00FD5E11" w:rsidRDefault="00C8169C" w:rsidP="00C8169C">
      <w:pPr>
        <w:jc w:val="both"/>
        <w:rPr>
          <w:rFonts w:ascii="Arial" w:hAnsi="Arial" w:cs="Arial"/>
          <w:b/>
          <w:color w:val="FF0000"/>
        </w:rPr>
      </w:pPr>
    </w:p>
    <w:p w:rsidR="00EB3109" w:rsidRPr="003754F3" w:rsidRDefault="00D43DAB" w:rsidP="00D43DAB">
      <w:pPr>
        <w:jc w:val="both"/>
        <w:rPr>
          <w:rFonts w:ascii="Arial" w:hAnsi="Arial" w:cs="Arial"/>
          <w:b/>
          <w:bCs/>
          <w:sz w:val="36"/>
          <w:szCs w:val="36"/>
          <w:u w:val="single"/>
        </w:rPr>
      </w:pPr>
      <w:r w:rsidRPr="00C014A3">
        <w:rPr>
          <w:rFonts w:ascii="Arial" w:hAnsi="Arial" w:cs="Arial"/>
          <w:b/>
          <w:bCs/>
          <w:sz w:val="36"/>
          <w:szCs w:val="36"/>
        </w:rPr>
        <w:t xml:space="preserve">     </w:t>
      </w:r>
      <w:r w:rsidR="00292AF0" w:rsidRPr="00C014A3">
        <w:rPr>
          <w:rFonts w:ascii="Arial" w:hAnsi="Arial" w:cs="Arial"/>
          <w:b/>
          <w:bCs/>
          <w:sz w:val="36"/>
          <w:szCs w:val="36"/>
        </w:rPr>
        <w:t xml:space="preserve">                       </w:t>
      </w:r>
      <w:r w:rsidRPr="00C014A3">
        <w:rPr>
          <w:rFonts w:ascii="Arial" w:hAnsi="Arial" w:cs="Arial"/>
          <w:b/>
          <w:bCs/>
          <w:sz w:val="36"/>
          <w:szCs w:val="36"/>
        </w:rPr>
        <w:t xml:space="preserve"> </w:t>
      </w:r>
      <w:r w:rsidRPr="003754F3">
        <w:rPr>
          <w:rFonts w:ascii="Arial" w:hAnsi="Arial" w:cs="Arial"/>
          <w:b/>
          <w:bCs/>
          <w:sz w:val="36"/>
          <w:szCs w:val="36"/>
          <w:u w:val="single"/>
        </w:rPr>
        <w:t xml:space="preserve">10 ans UK </w:t>
      </w:r>
    </w:p>
    <w:p w:rsidR="006E6472" w:rsidRPr="003754F3" w:rsidRDefault="006E6472" w:rsidP="006E6472">
      <w:pPr>
        <w:jc w:val="both"/>
        <w:rPr>
          <w:rFonts w:ascii="Arial" w:hAnsi="Arial" w:cs="Arial"/>
          <w:b/>
          <w:sz w:val="28"/>
          <w:szCs w:val="28"/>
          <w:u w:val="single"/>
        </w:rPr>
      </w:pPr>
      <w:r w:rsidRPr="003754F3">
        <w:rPr>
          <w:rFonts w:ascii="Arial" w:hAnsi="Arial" w:cs="Arial"/>
          <w:b/>
          <w:sz w:val="28"/>
          <w:szCs w:val="28"/>
          <w:u w:val="single"/>
        </w:rPr>
        <w:t>Monthly</w:t>
      </w:r>
    </w:p>
    <w:p w:rsidR="006E6472" w:rsidRPr="00AA580A" w:rsidRDefault="00ED185D" w:rsidP="00B65AF1">
      <w:pPr>
        <w:ind w:left="-283"/>
        <w:jc w:val="both"/>
        <w:rPr>
          <w:rFonts w:ascii="Arial" w:hAnsi="Arial" w:cs="Arial"/>
          <w:b/>
          <w:bCs/>
        </w:rPr>
      </w:pPr>
      <w:r>
        <w:rPr>
          <w:rFonts w:ascii="Arial" w:hAnsi="Arial" w:cs="Arial"/>
          <w:b/>
          <w:bCs/>
          <w:noProof/>
        </w:rPr>
        <w:drawing>
          <wp:inline distT="0" distB="0" distL="0" distR="0">
            <wp:extent cx="6645467" cy="4253346"/>
            <wp:effectExtent l="0" t="0" r="3175" b="0"/>
            <wp:docPr id="13" name="Image 13" descr="C:\Temp\Bloomberg\temp\bfmA3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Temp\Bloomberg\temp\bfmA360.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0853" cy="4256793"/>
                    </a:xfrm>
                    <a:prstGeom prst="rect">
                      <a:avLst/>
                    </a:prstGeom>
                    <a:noFill/>
                    <a:ln>
                      <a:noFill/>
                    </a:ln>
                  </pic:spPr>
                </pic:pic>
              </a:graphicData>
            </a:graphic>
          </wp:inline>
        </w:drawing>
      </w:r>
    </w:p>
    <w:p w:rsidR="00D43DAB" w:rsidRPr="00AA580A" w:rsidRDefault="00D43DAB" w:rsidP="00D43DAB">
      <w:pPr>
        <w:jc w:val="both"/>
        <w:rPr>
          <w:rFonts w:ascii="Arial" w:hAnsi="Arial" w:cs="Arial"/>
          <w:b/>
          <w:bCs/>
          <w:sz w:val="28"/>
          <w:szCs w:val="28"/>
          <w:u w:val="single"/>
        </w:rPr>
      </w:pPr>
      <w:r w:rsidRPr="00AA580A">
        <w:rPr>
          <w:rFonts w:ascii="Arial" w:hAnsi="Arial" w:cs="Arial"/>
          <w:b/>
          <w:bCs/>
          <w:sz w:val="28"/>
          <w:szCs w:val="28"/>
          <w:u w:val="single"/>
        </w:rPr>
        <w:t>Weekly</w:t>
      </w:r>
    </w:p>
    <w:p w:rsidR="00D43DAB" w:rsidRPr="00AA580A" w:rsidRDefault="00ED185D" w:rsidP="00B65AF1">
      <w:pPr>
        <w:tabs>
          <w:tab w:val="left" w:pos="4395"/>
        </w:tabs>
        <w:ind w:left="-283"/>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645467" cy="4371109"/>
            <wp:effectExtent l="0" t="0" r="3175" b="0"/>
            <wp:docPr id="11" name="Image 11" descr="C:\Temp\Bloomberg\temp\bfmD6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Temp\Bloomberg\temp\bfmD601.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50787" cy="4374608"/>
                    </a:xfrm>
                    <a:prstGeom prst="rect">
                      <a:avLst/>
                    </a:prstGeom>
                    <a:noFill/>
                    <a:ln>
                      <a:noFill/>
                    </a:ln>
                  </pic:spPr>
                </pic:pic>
              </a:graphicData>
            </a:graphic>
          </wp:inline>
        </w:drawing>
      </w:r>
    </w:p>
    <w:p w:rsidR="006E6472" w:rsidRDefault="006E6472" w:rsidP="006E6472">
      <w:pPr>
        <w:jc w:val="both"/>
        <w:rPr>
          <w:rFonts w:ascii="Arial" w:hAnsi="Arial" w:cs="Arial"/>
          <w:b/>
          <w:bCs/>
          <w:sz w:val="28"/>
          <w:szCs w:val="28"/>
          <w:u w:val="single"/>
        </w:rPr>
      </w:pPr>
      <w:r w:rsidRPr="00B52897">
        <w:rPr>
          <w:rFonts w:ascii="Arial" w:hAnsi="Arial" w:cs="Arial"/>
          <w:b/>
          <w:bCs/>
          <w:sz w:val="28"/>
          <w:szCs w:val="28"/>
          <w:u w:val="single"/>
        </w:rPr>
        <w:t xml:space="preserve">Daily </w:t>
      </w:r>
    </w:p>
    <w:p w:rsidR="00FD5E11" w:rsidRDefault="00FD5E11" w:rsidP="006E6472">
      <w:pPr>
        <w:jc w:val="both"/>
        <w:rPr>
          <w:rFonts w:ascii="Arial" w:hAnsi="Arial" w:cs="Arial"/>
          <w:b/>
          <w:bCs/>
          <w:sz w:val="28"/>
          <w:szCs w:val="28"/>
          <w:u w:val="single"/>
        </w:rPr>
      </w:pPr>
    </w:p>
    <w:p w:rsidR="00FD5E11" w:rsidRPr="00B52897" w:rsidRDefault="00ED185D" w:rsidP="006E6472">
      <w:pPr>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645910" cy="4787584"/>
            <wp:effectExtent l="0" t="0" r="2540" b="0"/>
            <wp:docPr id="10" name="Image 10" descr="C:\Temp\Bloomberg\temp\bfm88C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88CA.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4787584"/>
                    </a:xfrm>
                    <a:prstGeom prst="rect">
                      <a:avLst/>
                    </a:prstGeom>
                    <a:noFill/>
                    <a:ln>
                      <a:noFill/>
                    </a:ln>
                  </pic:spPr>
                </pic:pic>
              </a:graphicData>
            </a:graphic>
          </wp:inline>
        </w:drawing>
      </w:r>
    </w:p>
    <w:p w:rsidR="00332645" w:rsidRPr="00094EB3" w:rsidRDefault="005530C2" w:rsidP="00196168">
      <w:pPr>
        <w:jc w:val="both"/>
        <w:rPr>
          <w:rFonts w:ascii="Tahoma" w:hAnsi="Tahoma" w:cs="Tahoma"/>
          <w:bCs/>
        </w:rPr>
      </w:pPr>
      <w:r w:rsidRPr="00B52897">
        <w:rPr>
          <w:rFonts w:ascii="Arial" w:hAnsi="Arial" w:cs="Arial"/>
          <w:b/>
          <w:bCs/>
        </w:rPr>
        <w:t>M :</w:t>
      </w:r>
      <w:r w:rsidRPr="00B52897">
        <w:rPr>
          <w:rFonts w:ascii="Tahoma" w:hAnsi="Tahoma" w:cs="Tahoma"/>
          <w:bCs/>
        </w:rPr>
        <w:t xml:space="preserve"> </w:t>
      </w:r>
      <w:r w:rsidR="00196168" w:rsidRPr="00094EB3">
        <w:rPr>
          <w:rFonts w:ascii="Tahoma" w:hAnsi="Tahoma" w:cs="Tahoma"/>
          <w:bCs/>
        </w:rPr>
        <w:t>L</w:t>
      </w:r>
      <w:r w:rsidR="001900F2" w:rsidRPr="00094EB3">
        <w:rPr>
          <w:rFonts w:ascii="Tahoma" w:hAnsi="Tahoma" w:cs="Tahoma"/>
          <w:bCs/>
        </w:rPr>
        <w:t>e contexte de long terme est baissier.</w:t>
      </w:r>
      <w:r w:rsidR="00597F48" w:rsidRPr="00094EB3">
        <w:rPr>
          <w:rFonts w:ascii="Tahoma" w:hAnsi="Tahoma" w:cs="Tahoma"/>
          <w:bCs/>
        </w:rPr>
        <w:t xml:space="preserve"> </w:t>
      </w:r>
      <w:r w:rsidR="00094EB3" w:rsidRPr="00094EB3">
        <w:rPr>
          <w:rFonts w:ascii="Tahoma" w:hAnsi="Tahoma" w:cs="Tahoma"/>
          <w:bCs/>
        </w:rPr>
        <w:t xml:space="preserve">Le plat de KS de 1.09 a servi récemment de support. Il limite le potentiel de baisse et permet d’envisager la neutralité tant que ce point ne sera pas invalidé.  </w:t>
      </w:r>
    </w:p>
    <w:p w:rsidR="00332645" w:rsidRPr="00B52897" w:rsidRDefault="00332645" w:rsidP="001B1B61">
      <w:pPr>
        <w:jc w:val="both"/>
        <w:rPr>
          <w:rFonts w:ascii="Tahoma" w:hAnsi="Tahoma" w:cs="Tahoma"/>
          <w:bCs/>
        </w:rPr>
      </w:pPr>
    </w:p>
    <w:p w:rsidR="00AF7F1E" w:rsidRDefault="00134724" w:rsidP="00FD5E11">
      <w:pPr>
        <w:jc w:val="both"/>
        <w:rPr>
          <w:rFonts w:ascii="Tahoma" w:hAnsi="Tahoma" w:cs="Tahoma"/>
          <w:bCs/>
        </w:rPr>
      </w:pPr>
      <w:r w:rsidRPr="00F950A8">
        <w:rPr>
          <w:rFonts w:ascii="Arial" w:hAnsi="Arial" w:cs="Arial"/>
          <w:b/>
          <w:bCs/>
        </w:rPr>
        <w:t xml:space="preserve">W : </w:t>
      </w:r>
      <w:r w:rsidR="004337C8" w:rsidRPr="004B449F">
        <w:rPr>
          <w:rFonts w:ascii="Tahoma" w:hAnsi="Tahoma" w:cs="Tahoma"/>
          <w:bCs/>
        </w:rPr>
        <w:t xml:space="preserve">La position du taux et de la LS </w:t>
      </w:r>
      <w:r w:rsidR="004B449F" w:rsidRPr="004B449F">
        <w:rPr>
          <w:rFonts w:ascii="Tahoma" w:hAnsi="Tahoma" w:cs="Tahoma"/>
          <w:bCs/>
        </w:rPr>
        <w:t>par rapport au nuage avantage la hausse.</w:t>
      </w:r>
      <w:r w:rsidR="004B449F">
        <w:rPr>
          <w:rFonts w:ascii="Tahoma" w:hAnsi="Tahoma" w:cs="Tahoma"/>
          <w:bCs/>
        </w:rPr>
        <w:t xml:space="preserve"> </w:t>
      </w:r>
      <w:r w:rsidR="00011200">
        <w:rPr>
          <w:rFonts w:ascii="Tahoma" w:hAnsi="Tahoma" w:cs="Tahoma"/>
          <w:bCs/>
        </w:rPr>
        <w:t>Mais la forme horizontale des courbes Ichimoku indique que le marché n’est plus en tendance.</w:t>
      </w:r>
      <w:r w:rsidR="00C43239">
        <w:rPr>
          <w:rFonts w:ascii="Tahoma" w:hAnsi="Tahoma" w:cs="Tahoma"/>
          <w:bCs/>
        </w:rPr>
        <w:t xml:space="preserve"> Le plat de KS de 1.39 servira de support ou de résistance au cours des prochaines semaines.</w:t>
      </w:r>
    </w:p>
    <w:p w:rsidR="00592CE7" w:rsidRPr="00E6336C" w:rsidRDefault="004657DD" w:rsidP="00134724">
      <w:pPr>
        <w:jc w:val="both"/>
        <w:rPr>
          <w:rFonts w:ascii="Tahoma" w:hAnsi="Tahoma" w:cs="Tahoma"/>
          <w:bCs/>
        </w:rPr>
      </w:pPr>
      <w:r>
        <w:rPr>
          <w:rFonts w:ascii="Tahoma" w:hAnsi="Tahoma" w:cs="Tahoma"/>
          <w:bCs/>
        </w:rPr>
        <w:t xml:space="preserve"> </w:t>
      </w:r>
    </w:p>
    <w:p w:rsidR="00FF1FC8" w:rsidRPr="00F950A8" w:rsidRDefault="00134724" w:rsidP="00FD5E11">
      <w:pPr>
        <w:jc w:val="both"/>
        <w:rPr>
          <w:rFonts w:ascii="Tahoma" w:hAnsi="Tahoma" w:cs="Tahoma"/>
          <w:bCs/>
        </w:rPr>
      </w:pPr>
      <w:r w:rsidRPr="00F950A8">
        <w:rPr>
          <w:rFonts w:ascii="Arial" w:hAnsi="Arial" w:cs="Arial"/>
          <w:b/>
          <w:bCs/>
        </w:rPr>
        <w:t xml:space="preserve">D : </w:t>
      </w:r>
      <w:r w:rsidR="008A7F8B" w:rsidRPr="008A7F8B">
        <w:rPr>
          <w:rFonts w:ascii="Tahoma" w:hAnsi="Tahoma" w:cs="Tahoma"/>
          <w:bCs/>
        </w:rPr>
        <w:t>Le rebond du</w:t>
      </w:r>
      <w:r w:rsidR="008A7F8B">
        <w:rPr>
          <w:rFonts w:ascii="Tahoma" w:hAnsi="Tahoma" w:cs="Tahoma"/>
          <w:bCs/>
        </w:rPr>
        <w:t xml:space="preserve"> 10 ans UK a replacé le marché au sein de la dérive latérale comprise entre 1.32 et 1.55. </w:t>
      </w:r>
      <w:r w:rsidR="00B6489E">
        <w:rPr>
          <w:rFonts w:ascii="Tahoma" w:hAnsi="Tahoma" w:cs="Tahoma"/>
          <w:bCs/>
        </w:rPr>
        <w:t>N</w:t>
      </w:r>
      <w:r w:rsidR="008A7F8B">
        <w:rPr>
          <w:rFonts w:ascii="Tahoma" w:hAnsi="Tahoma" w:cs="Tahoma"/>
          <w:bCs/>
        </w:rPr>
        <w:t xml:space="preserve">eutralité </w:t>
      </w:r>
      <w:r w:rsidR="00B6489E">
        <w:rPr>
          <w:rFonts w:ascii="Tahoma" w:hAnsi="Tahoma" w:cs="Tahoma"/>
          <w:bCs/>
        </w:rPr>
        <w:t>entre ces bornes dont la cassure (haute ou basse) permettra d’envisager le haut ou bas récent de 1.69 ou de 1.10.</w:t>
      </w:r>
    </w:p>
    <w:p w:rsidR="009435E0" w:rsidRPr="00C955D5" w:rsidRDefault="009435E0" w:rsidP="005530C2">
      <w:pPr>
        <w:jc w:val="both"/>
        <w:rPr>
          <w:rFonts w:ascii="Arial" w:hAnsi="Arial" w:cs="Arial"/>
          <w:color w:val="FF0000"/>
        </w:rPr>
      </w:pPr>
    </w:p>
    <w:p w:rsidR="00367053" w:rsidRPr="00A31477" w:rsidRDefault="005530C2" w:rsidP="00A31477">
      <w:pPr>
        <w:jc w:val="both"/>
        <w:rPr>
          <w:rFonts w:ascii="Arial" w:hAnsi="Arial" w:cs="Arial"/>
          <w:b/>
          <w:color w:val="00B050"/>
        </w:rPr>
      </w:pPr>
      <w:r w:rsidRPr="00A31477">
        <w:rPr>
          <w:rFonts w:ascii="Arial" w:hAnsi="Arial" w:cs="Arial"/>
          <w:b/>
          <w:color w:val="00B050"/>
          <w:u w:val="single"/>
        </w:rPr>
        <w:t>HEBDOMADAIRE</w:t>
      </w:r>
      <w:r w:rsidRPr="00A31477">
        <w:rPr>
          <w:rFonts w:ascii="Arial" w:hAnsi="Arial" w:cs="Arial"/>
          <w:b/>
          <w:color w:val="00B050"/>
        </w:rPr>
        <w:t xml:space="preserve"> : </w:t>
      </w:r>
      <w:r w:rsidR="007447D8">
        <w:rPr>
          <w:rFonts w:ascii="Arial" w:hAnsi="Arial" w:cs="Arial"/>
          <w:b/>
          <w:color w:val="00B050"/>
        </w:rPr>
        <w:t>C</w:t>
      </w:r>
      <w:r w:rsidR="00A31477" w:rsidRPr="00A31477">
        <w:rPr>
          <w:rFonts w:ascii="Arial" w:hAnsi="Arial" w:cs="Arial"/>
          <w:b/>
          <w:color w:val="00B050"/>
        </w:rPr>
        <w:t>onsolidation entre 1.32 et 1.55. En rupture de 1.55 retour sur le haut récent de 1.69. En cassure de 1.32, baisse sur le bas de 1.10.</w:t>
      </w:r>
    </w:p>
    <w:p w:rsidR="00367053" w:rsidRPr="00A31477" w:rsidRDefault="00367053" w:rsidP="00CD3972">
      <w:pPr>
        <w:jc w:val="both"/>
        <w:rPr>
          <w:rFonts w:ascii="Arial" w:hAnsi="Arial" w:cs="Arial"/>
          <w:b/>
          <w:color w:val="FF0000"/>
        </w:rPr>
      </w:pPr>
    </w:p>
    <w:p w:rsidR="007A5656" w:rsidRPr="00A31477" w:rsidRDefault="007A5656" w:rsidP="00BE257A">
      <w:pPr>
        <w:jc w:val="both"/>
        <w:rPr>
          <w:rFonts w:ascii="Arial" w:hAnsi="Arial" w:cs="Arial"/>
          <w:b/>
          <w:color w:val="00B050"/>
        </w:rPr>
      </w:pPr>
    </w:p>
    <w:p w:rsidR="00612BDB" w:rsidRDefault="00612BDB" w:rsidP="00BE257A">
      <w:pPr>
        <w:jc w:val="both"/>
        <w:rPr>
          <w:rFonts w:ascii="Arial" w:hAnsi="Arial" w:cs="Arial"/>
          <w:b/>
          <w:color w:val="00B050"/>
        </w:rPr>
      </w:pPr>
    </w:p>
    <w:p w:rsidR="00D5598E" w:rsidRDefault="00D5598E" w:rsidP="00BE257A">
      <w:pPr>
        <w:jc w:val="both"/>
        <w:rPr>
          <w:rFonts w:ascii="Arial" w:hAnsi="Arial" w:cs="Arial"/>
          <w:b/>
          <w:color w:val="00B050"/>
        </w:rPr>
      </w:pPr>
    </w:p>
    <w:p w:rsidR="00D5598E" w:rsidRDefault="00D5598E" w:rsidP="00BE257A">
      <w:pPr>
        <w:jc w:val="both"/>
        <w:rPr>
          <w:rFonts w:ascii="Arial" w:hAnsi="Arial" w:cs="Arial"/>
          <w:b/>
          <w:color w:val="00B050"/>
        </w:rPr>
      </w:pPr>
    </w:p>
    <w:p w:rsidR="00D5598E" w:rsidRDefault="00D5598E" w:rsidP="00BE257A">
      <w:pPr>
        <w:jc w:val="both"/>
        <w:rPr>
          <w:rFonts w:ascii="Arial" w:hAnsi="Arial" w:cs="Arial"/>
          <w:b/>
          <w:color w:val="00B050"/>
        </w:rPr>
      </w:pPr>
    </w:p>
    <w:p w:rsidR="00D5598E" w:rsidRPr="00A31477" w:rsidRDefault="00D5598E" w:rsidP="00BE257A">
      <w:pPr>
        <w:jc w:val="both"/>
        <w:rPr>
          <w:rFonts w:ascii="Arial" w:hAnsi="Arial" w:cs="Arial"/>
          <w:b/>
          <w:color w:val="00B050"/>
        </w:rPr>
      </w:pPr>
    </w:p>
    <w:p w:rsidR="00DC295E" w:rsidRPr="00AD7F6F" w:rsidRDefault="00DC295E" w:rsidP="00AD7F6F">
      <w:pPr>
        <w:jc w:val="both"/>
        <w:rPr>
          <w:rFonts w:ascii="Arial" w:eastAsia="Calibri" w:hAnsi="Arial" w:cs="Arial"/>
          <w:b/>
        </w:rPr>
      </w:pPr>
      <w:bookmarkStart w:id="2" w:name="_GoBack"/>
      <w:bookmarkEnd w:id="0"/>
      <w:bookmarkEnd w:id="2"/>
    </w:p>
    <w:sectPr w:rsidR="00DC295E" w:rsidRPr="00AD7F6F" w:rsidSect="00B65AF1">
      <w:headerReference w:type="even" r:id="rId19"/>
      <w:headerReference w:type="default" r:id="rId20"/>
      <w:footerReference w:type="even" r:id="rId21"/>
      <w:footerReference w:type="default" r:id="rId22"/>
      <w:headerReference w:type="first" r:id="rId23"/>
      <w:footerReference w:type="first" r:id="rId2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09F1" w:rsidRDefault="00A409F1" w:rsidP="00632EAA">
      <w:r>
        <w:separator/>
      </w:r>
    </w:p>
  </w:endnote>
  <w:endnote w:type="continuationSeparator" w:id="0">
    <w:p w:rsidR="00A409F1" w:rsidRDefault="00A409F1"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792" w:rsidRDefault="005C079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232367"/>
      <w:docPartObj>
        <w:docPartGallery w:val="Page Numbers (Bottom of Page)"/>
        <w:docPartUnique/>
      </w:docPartObj>
    </w:sdtPr>
    <w:sdtEndPr/>
    <w:sdtContent>
      <w:p w:rsidR="00A409F1" w:rsidRDefault="00A409F1">
        <w:pPr>
          <w:pStyle w:val="Pieddepage"/>
          <w:jc w:val="right"/>
        </w:pPr>
        <w:r>
          <w:fldChar w:fldCharType="begin"/>
        </w:r>
        <w:r>
          <w:instrText>PAGE   \* MERGEFORMAT</w:instrText>
        </w:r>
        <w:r>
          <w:fldChar w:fldCharType="separate"/>
        </w:r>
        <w:r w:rsidR="005C0792">
          <w:rPr>
            <w:noProof/>
          </w:rPr>
          <w:t>10</w:t>
        </w:r>
        <w:r>
          <w:fldChar w:fldCharType="end"/>
        </w:r>
      </w:p>
    </w:sdtContent>
  </w:sdt>
  <w:p w:rsidR="00A409F1" w:rsidRDefault="005C0792">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2" name="MSIPCM5b9b46d4875c54672601f39d"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5C0792" w:rsidRPr="005C0792" w:rsidRDefault="005C0792" w:rsidP="005C0792">
                          <w:pPr>
                            <w:rPr>
                              <w:rFonts w:ascii="Calibri" w:hAnsi="Calibri" w:cs="Calibri"/>
                              <w:color w:val="737373"/>
                              <w:sz w:val="16"/>
                            </w:rPr>
                          </w:pPr>
                          <w:r w:rsidRPr="005C0792">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5b9b46d4875c54672601f39d"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" o:allowincell="f" filled="f" stroked="f" strokeweight=".5pt">
              <v:fill o:detectmouseclick="t"/>
              <v:textbox inset="20pt,0,,0">
                <w:txbxContent>
                  <w:p w:rsidR="005C0792" w:rsidRPr="005C0792" w:rsidRDefault="005C0792" w:rsidP="005C0792">
                    <w:pPr>
                      <w:rPr>
                        <w:rFonts w:ascii="Calibri" w:hAnsi="Calibri" w:cs="Calibri"/>
                        <w:color w:val="737373"/>
                        <w:sz w:val="16"/>
                      </w:rPr>
                    </w:pPr>
                    <w:r w:rsidRPr="005C0792">
                      <w:rPr>
                        <w:rFonts w:ascii="Calibri" w:hAnsi="Calibri" w:cs="Calibri"/>
                        <w:color w:val="737373"/>
                        <w:sz w:val="16"/>
                      </w:rPr>
                      <w:t>C2 - Internal Natixis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792" w:rsidRDefault="005C079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09F1" w:rsidRDefault="00A409F1" w:rsidP="00632EAA">
      <w:r>
        <w:separator/>
      </w:r>
    </w:p>
  </w:footnote>
  <w:footnote w:type="continuationSeparator" w:id="0">
    <w:p w:rsidR="00A409F1" w:rsidRDefault="00A409F1" w:rsidP="00632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792" w:rsidRDefault="005C079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792" w:rsidRDefault="005C0792">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792" w:rsidRDefault="005C079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043C9"/>
    <w:rsid w:val="00006573"/>
    <w:rsid w:val="00011200"/>
    <w:rsid w:val="00015DE9"/>
    <w:rsid w:val="00024342"/>
    <w:rsid w:val="00031AE3"/>
    <w:rsid w:val="00031D2A"/>
    <w:rsid w:val="000341AC"/>
    <w:rsid w:val="000403B1"/>
    <w:rsid w:val="00040784"/>
    <w:rsid w:val="00040AE9"/>
    <w:rsid w:val="000412FF"/>
    <w:rsid w:val="00041F25"/>
    <w:rsid w:val="0005450A"/>
    <w:rsid w:val="0006167C"/>
    <w:rsid w:val="00063DD8"/>
    <w:rsid w:val="000641C0"/>
    <w:rsid w:val="000679AC"/>
    <w:rsid w:val="00077732"/>
    <w:rsid w:val="00082509"/>
    <w:rsid w:val="000874DF"/>
    <w:rsid w:val="00090B79"/>
    <w:rsid w:val="00093D02"/>
    <w:rsid w:val="00094EB3"/>
    <w:rsid w:val="0009578D"/>
    <w:rsid w:val="0009601D"/>
    <w:rsid w:val="000A3D69"/>
    <w:rsid w:val="000A4A04"/>
    <w:rsid w:val="000B156B"/>
    <w:rsid w:val="000B6ECC"/>
    <w:rsid w:val="000C5BCC"/>
    <w:rsid w:val="000C702C"/>
    <w:rsid w:val="000D17A4"/>
    <w:rsid w:val="000D21A7"/>
    <w:rsid w:val="000D268A"/>
    <w:rsid w:val="000D4E0C"/>
    <w:rsid w:val="000D6642"/>
    <w:rsid w:val="000D6D9D"/>
    <w:rsid w:val="000D72F9"/>
    <w:rsid w:val="000D7ED2"/>
    <w:rsid w:val="000E4AFF"/>
    <w:rsid w:val="000E52E1"/>
    <w:rsid w:val="000E620B"/>
    <w:rsid w:val="000E65BF"/>
    <w:rsid w:val="000F109D"/>
    <w:rsid w:val="000F565E"/>
    <w:rsid w:val="000F7250"/>
    <w:rsid w:val="00100473"/>
    <w:rsid w:val="001017C5"/>
    <w:rsid w:val="00101F48"/>
    <w:rsid w:val="00104E12"/>
    <w:rsid w:val="0010583E"/>
    <w:rsid w:val="00112363"/>
    <w:rsid w:val="001155DC"/>
    <w:rsid w:val="00124CE0"/>
    <w:rsid w:val="0012530F"/>
    <w:rsid w:val="001259C9"/>
    <w:rsid w:val="0012750D"/>
    <w:rsid w:val="00134724"/>
    <w:rsid w:val="00141BFC"/>
    <w:rsid w:val="001420E9"/>
    <w:rsid w:val="00145281"/>
    <w:rsid w:val="00151611"/>
    <w:rsid w:val="00151A43"/>
    <w:rsid w:val="00152500"/>
    <w:rsid w:val="00152726"/>
    <w:rsid w:val="001562F5"/>
    <w:rsid w:val="0017044D"/>
    <w:rsid w:val="0017255A"/>
    <w:rsid w:val="00174112"/>
    <w:rsid w:val="00174D90"/>
    <w:rsid w:val="001758CA"/>
    <w:rsid w:val="00175D7D"/>
    <w:rsid w:val="001802ED"/>
    <w:rsid w:val="00181C36"/>
    <w:rsid w:val="0018460F"/>
    <w:rsid w:val="001900F2"/>
    <w:rsid w:val="001929A4"/>
    <w:rsid w:val="0019448F"/>
    <w:rsid w:val="0019471F"/>
    <w:rsid w:val="00194BF8"/>
    <w:rsid w:val="00196168"/>
    <w:rsid w:val="001A7163"/>
    <w:rsid w:val="001B1120"/>
    <w:rsid w:val="001B1B61"/>
    <w:rsid w:val="001B313E"/>
    <w:rsid w:val="001C0911"/>
    <w:rsid w:val="001C0A29"/>
    <w:rsid w:val="001C1C7A"/>
    <w:rsid w:val="001C6728"/>
    <w:rsid w:val="001D21C0"/>
    <w:rsid w:val="001D2CFB"/>
    <w:rsid w:val="001E4E26"/>
    <w:rsid w:val="001E7AFE"/>
    <w:rsid w:val="001E7C78"/>
    <w:rsid w:val="001F0E5F"/>
    <w:rsid w:val="001F4F7F"/>
    <w:rsid w:val="002000EA"/>
    <w:rsid w:val="00203583"/>
    <w:rsid w:val="00206C2A"/>
    <w:rsid w:val="002078BB"/>
    <w:rsid w:val="00207BD5"/>
    <w:rsid w:val="002110BC"/>
    <w:rsid w:val="0021328A"/>
    <w:rsid w:val="00216FF9"/>
    <w:rsid w:val="00222827"/>
    <w:rsid w:val="002308C6"/>
    <w:rsid w:val="00230B15"/>
    <w:rsid w:val="00233557"/>
    <w:rsid w:val="00235DEB"/>
    <w:rsid w:val="0023751E"/>
    <w:rsid w:val="002412DD"/>
    <w:rsid w:val="002505D9"/>
    <w:rsid w:val="002506D7"/>
    <w:rsid w:val="002525D8"/>
    <w:rsid w:val="0025315D"/>
    <w:rsid w:val="00254989"/>
    <w:rsid w:val="00256885"/>
    <w:rsid w:val="00260D05"/>
    <w:rsid w:val="002637F2"/>
    <w:rsid w:val="00264CE5"/>
    <w:rsid w:val="00264ECA"/>
    <w:rsid w:val="00273EF1"/>
    <w:rsid w:val="00274AD5"/>
    <w:rsid w:val="00276D92"/>
    <w:rsid w:val="0027748F"/>
    <w:rsid w:val="00281F6C"/>
    <w:rsid w:val="00292AF0"/>
    <w:rsid w:val="00294B9B"/>
    <w:rsid w:val="002A322F"/>
    <w:rsid w:val="002A3CA4"/>
    <w:rsid w:val="002A46CF"/>
    <w:rsid w:val="002A634E"/>
    <w:rsid w:val="002A63D2"/>
    <w:rsid w:val="002B0A38"/>
    <w:rsid w:val="002B268E"/>
    <w:rsid w:val="002B4084"/>
    <w:rsid w:val="002C101E"/>
    <w:rsid w:val="002C2834"/>
    <w:rsid w:val="002C2DC2"/>
    <w:rsid w:val="002C5FAC"/>
    <w:rsid w:val="002D3EC9"/>
    <w:rsid w:val="002E337C"/>
    <w:rsid w:val="002E34FF"/>
    <w:rsid w:val="002E3C88"/>
    <w:rsid w:val="002E5E89"/>
    <w:rsid w:val="002E71C2"/>
    <w:rsid w:val="002E7D66"/>
    <w:rsid w:val="002F0C21"/>
    <w:rsid w:val="002F3091"/>
    <w:rsid w:val="002F4402"/>
    <w:rsid w:val="002F6B57"/>
    <w:rsid w:val="00304D6E"/>
    <w:rsid w:val="0031071E"/>
    <w:rsid w:val="00314C8B"/>
    <w:rsid w:val="003166BC"/>
    <w:rsid w:val="00317596"/>
    <w:rsid w:val="003228D3"/>
    <w:rsid w:val="003233B1"/>
    <w:rsid w:val="003261EE"/>
    <w:rsid w:val="00326A93"/>
    <w:rsid w:val="00330C78"/>
    <w:rsid w:val="00332645"/>
    <w:rsid w:val="00337BE0"/>
    <w:rsid w:val="003411EA"/>
    <w:rsid w:val="0034135F"/>
    <w:rsid w:val="0034170D"/>
    <w:rsid w:val="00343C28"/>
    <w:rsid w:val="00347D77"/>
    <w:rsid w:val="00352A1E"/>
    <w:rsid w:val="00353AD0"/>
    <w:rsid w:val="00354C96"/>
    <w:rsid w:val="003556EB"/>
    <w:rsid w:val="00360110"/>
    <w:rsid w:val="00365809"/>
    <w:rsid w:val="00366961"/>
    <w:rsid w:val="00367053"/>
    <w:rsid w:val="00367239"/>
    <w:rsid w:val="00367599"/>
    <w:rsid w:val="003702C4"/>
    <w:rsid w:val="00373142"/>
    <w:rsid w:val="003750B6"/>
    <w:rsid w:val="003754F3"/>
    <w:rsid w:val="00377440"/>
    <w:rsid w:val="0038119F"/>
    <w:rsid w:val="00382502"/>
    <w:rsid w:val="00383BAC"/>
    <w:rsid w:val="00385F69"/>
    <w:rsid w:val="003948B3"/>
    <w:rsid w:val="00394A95"/>
    <w:rsid w:val="003952D7"/>
    <w:rsid w:val="00397BA3"/>
    <w:rsid w:val="003A1222"/>
    <w:rsid w:val="003B2B32"/>
    <w:rsid w:val="003B2CFF"/>
    <w:rsid w:val="003B63F5"/>
    <w:rsid w:val="003B75F0"/>
    <w:rsid w:val="003B7952"/>
    <w:rsid w:val="003C03CD"/>
    <w:rsid w:val="003C27DA"/>
    <w:rsid w:val="003D41A5"/>
    <w:rsid w:val="003E1B3F"/>
    <w:rsid w:val="003E5A71"/>
    <w:rsid w:val="003E749D"/>
    <w:rsid w:val="003F4023"/>
    <w:rsid w:val="003F6F10"/>
    <w:rsid w:val="00401AE1"/>
    <w:rsid w:val="00401C1D"/>
    <w:rsid w:val="00401CC8"/>
    <w:rsid w:val="00401F6A"/>
    <w:rsid w:val="00402633"/>
    <w:rsid w:val="004032E3"/>
    <w:rsid w:val="00403835"/>
    <w:rsid w:val="00404264"/>
    <w:rsid w:val="004069F1"/>
    <w:rsid w:val="00407002"/>
    <w:rsid w:val="004110E2"/>
    <w:rsid w:val="00415641"/>
    <w:rsid w:val="00416B48"/>
    <w:rsid w:val="00416F1A"/>
    <w:rsid w:val="0043066E"/>
    <w:rsid w:val="0043099C"/>
    <w:rsid w:val="0043164A"/>
    <w:rsid w:val="00432229"/>
    <w:rsid w:val="00432974"/>
    <w:rsid w:val="004337C8"/>
    <w:rsid w:val="00440575"/>
    <w:rsid w:val="004411EA"/>
    <w:rsid w:val="00451C8C"/>
    <w:rsid w:val="00457643"/>
    <w:rsid w:val="00464BA2"/>
    <w:rsid w:val="004657DD"/>
    <w:rsid w:val="0046677B"/>
    <w:rsid w:val="00467E82"/>
    <w:rsid w:val="00470E75"/>
    <w:rsid w:val="00473686"/>
    <w:rsid w:val="00474400"/>
    <w:rsid w:val="00476700"/>
    <w:rsid w:val="004801A4"/>
    <w:rsid w:val="00480883"/>
    <w:rsid w:val="004857D5"/>
    <w:rsid w:val="004873C5"/>
    <w:rsid w:val="00490C20"/>
    <w:rsid w:val="004A2C42"/>
    <w:rsid w:val="004A4C46"/>
    <w:rsid w:val="004A5B07"/>
    <w:rsid w:val="004A7BFF"/>
    <w:rsid w:val="004B145B"/>
    <w:rsid w:val="004B449F"/>
    <w:rsid w:val="004C0997"/>
    <w:rsid w:val="004C107D"/>
    <w:rsid w:val="004C1D94"/>
    <w:rsid w:val="004C57CF"/>
    <w:rsid w:val="004C7595"/>
    <w:rsid w:val="004D02B8"/>
    <w:rsid w:val="004D2E5B"/>
    <w:rsid w:val="004D3429"/>
    <w:rsid w:val="004E02D3"/>
    <w:rsid w:val="004E2FE7"/>
    <w:rsid w:val="004F35A1"/>
    <w:rsid w:val="004F3E17"/>
    <w:rsid w:val="004F49FB"/>
    <w:rsid w:val="004F7DDC"/>
    <w:rsid w:val="00500A6D"/>
    <w:rsid w:val="00501F69"/>
    <w:rsid w:val="0050573E"/>
    <w:rsid w:val="00514C7E"/>
    <w:rsid w:val="005224FA"/>
    <w:rsid w:val="0052288F"/>
    <w:rsid w:val="0054005C"/>
    <w:rsid w:val="00542FB4"/>
    <w:rsid w:val="0054379C"/>
    <w:rsid w:val="00545E40"/>
    <w:rsid w:val="005530C2"/>
    <w:rsid w:val="005600F6"/>
    <w:rsid w:val="005622FD"/>
    <w:rsid w:val="00562C92"/>
    <w:rsid w:val="0056419E"/>
    <w:rsid w:val="00567C3E"/>
    <w:rsid w:val="005770A5"/>
    <w:rsid w:val="00580C26"/>
    <w:rsid w:val="00583E6E"/>
    <w:rsid w:val="00585A3D"/>
    <w:rsid w:val="0059070C"/>
    <w:rsid w:val="00592CE7"/>
    <w:rsid w:val="0059618B"/>
    <w:rsid w:val="00597F48"/>
    <w:rsid w:val="005A5601"/>
    <w:rsid w:val="005A7A3E"/>
    <w:rsid w:val="005B781D"/>
    <w:rsid w:val="005C0792"/>
    <w:rsid w:val="005C3180"/>
    <w:rsid w:val="005C5E67"/>
    <w:rsid w:val="005D451E"/>
    <w:rsid w:val="005D7228"/>
    <w:rsid w:val="005E3841"/>
    <w:rsid w:val="005E4948"/>
    <w:rsid w:val="005F7340"/>
    <w:rsid w:val="0060114F"/>
    <w:rsid w:val="0060274E"/>
    <w:rsid w:val="006048FD"/>
    <w:rsid w:val="00612BDB"/>
    <w:rsid w:val="00613E70"/>
    <w:rsid w:val="00617226"/>
    <w:rsid w:val="00620D34"/>
    <w:rsid w:val="00623878"/>
    <w:rsid w:val="0062397C"/>
    <w:rsid w:val="00626AF6"/>
    <w:rsid w:val="00632EAA"/>
    <w:rsid w:val="0063445B"/>
    <w:rsid w:val="006374F9"/>
    <w:rsid w:val="006420ED"/>
    <w:rsid w:val="00643293"/>
    <w:rsid w:val="00645868"/>
    <w:rsid w:val="00650C73"/>
    <w:rsid w:val="00654221"/>
    <w:rsid w:val="0066004C"/>
    <w:rsid w:val="006641B7"/>
    <w:rsid w:val="00670CF7"/>
    <w:rsid w:val="00675360"/>
    <w:rsid w:val="00676870"/>
    <w:rsid w:val="00682009"/>
    <w:rsid w:val="006832C0"/>
    <w:rsid w:val="006871A5"/>
    <w:rsid w:val="00690736"/>
    <w:rsid w:val="0069101B"/>
    <w:rsid w:val="00691E63"/>
    <w:rsid w:val="00694328"/>
    <w:rsid w:val="00695C02"/>
    <w:rsid w:val="006A0DD9"/>
    <w:rsid w:val="006A1753"/>
    <w:rsid w:val="006A43AF"/>
    <w:rsid w:val="006A74DA"/>
    <w:rsid w:val="006B35CA"/>
    <w:rsid w:val="006B4A73"/>
    <w:rsid w:val="006C0FF6"/>
    <w:rsid w:val="006C10F5"/>
    <w:rsid w:val="006C59E0"/>
    <w:rsid w:val="006C634F"/>
    <w:rsid w:val="006D6C35"/>
    <w:rsid w:val="006D7DCD"/>
    <w:rsid w:val="006E0AD0"/>
    <w:rsid w:val="006E1A3A"/>
    <w:rsid w:val="006E6472"/>
    <w:rsid w:val="006F4736"/>
    <w:rsid w:val="006F6A52"/>
    <w:rsid w:val="006F7044"/>
    <w:rsid w:val="00702A9F"/>
    <w:rsid w:val="00703DD8"/>
    <w:rsid w:val="007046BB"/>
    <w:rsid w:val="00704A64"/>
    <w:rsid w:val="007236FA"/>
    <w:rsid w:val="00725CFC"/>
    <w:rsid w:val="00726F34"/>
    <w:rsid w:val="00727A2F"/>
    <w:rsid w:val="00732E1A"/>
    <w:rsid w:val="007357F8"/>
    <w:rsid w:val="0073620D"/>
    <w:rsid w:val="00736D43"/>
    <w:rsid w:val="007400C0"/>
    <w:rsid w:val="007447D8"/>
    <w:rsid w:val="00746A4F"/>
    <w:rsid w:val="00754F13"/>
    <w:rsid w:val="0076073C"/>
    <w:rsid w:val="00762F69"/>
    <w:rsid w:val="00763578"/>
    <w:rsid w:val="00764E65"/>
    <w:rsid w:val="007658F2"/>
    <w:rsid w:val="0077185D"/>
    <w:rsid w:val="00775E44"/>
    <w:rsid w:val="00776C3E"/>
    <w:rsid w:val="007801B9"/>
    <w:rsid w:val="00781543"/>
    <w:rsid w:val="007A54EF"/>
    <w:rsid w:val="007A5656"/>
    <w:rsid w:val="007B31F5"/>
    <w:rsid w:val="007B6865"/>
    <w:rsid w:val="007C14A5"/>
    <w:rsid w:val="007C5980"/>
    <w:rsid w:val="007D3A98"/>
    <w:rsid w:val="007D4DA3"/>
    <w:rsid w:val="007D538A"/>
    <w:rsid w:val="007E0829"/>
    <w:rsid w:val="007E3F85"/>
    <w:rsid w:val="007E4A2B"/>
    <w:rsid w:val="007F11FB"/>
    <w:rsid w:val="007F5372"/>
    <w:rsid w:val="00804BD3"/>
    <w:rsid w:val="00805F6D"/>
    <w:rsid w:val="00810D8C"/>
    <w:rsid w:val="00811CF5"/>
    <w:rsid w:val="0081223A"/>
    <w:rsid w:val="0081521A"/>
    <w:rsid w:val="00817780"/>
    <w:rsid w:val="008213B0"/>
    <w:rsid w:val="00821443"/>
    <w:rsid w:val="008251B9"/>
    <w:rsid w:val="008269BA"/>
    <w:rsid w:val="00831471"/>
    <w:rsid w:val="00841983"/>
    <w:rsid w:val="00841EF7"/>
    <w:rsid w:val="008431B4"/>
    <w:rsid w:val="00843BA0"/>
    <w:rsid w:val="008451F2"/>
    <w:rsid w:val="0085485A"/>
    <w:rsid w:val="00855054"/>
    <w:rsid w:val="00860835"/>
    <w:rsid w:val="00862246"/>
    <w:rsid w:val="008631EB"/>
    <w:rsid w:val="00871790"/>
    <w:rsid w:val="00875D08"/>
    <w:rsid w:val="008761B9"/>
    <w:rsid w:val="008769DF"/>
    <w:rsid w:val="00883554"/>
    <w:rsid w:val="00883760"/>
    <w:rsid w:val="00892275"/>
    <w:rsid w:val="00893DED"/>
    <w:rsid w:val="00894BE9"/>
    <w:rsid w:val="00897DD4"/>
    <w:rsid w:val="008A14C3"/>
    <w:rsid w:val="008A2B2F"/>
    <w:rsid w:val="008A4E31"/>
    <w:rsid w:val="008A7F8B"/>
    <w:rsid w:val="008B7591"/>
    <w:rsid w:val="008C46FE"/>
    <w:rsid w:val="008C6E2B"/>
    <w:rsid w:val="008D0E1C"/>
    <w:rsid w:val="008D490D"/>
    <w:rsid w:val="008E220D"/>
    <w:rsid w:val="008F1539"/>
    <w:rsid w:val="008F40E5"/>
    <w:rsid w:val="00900B05"/>
    <w:rsid w:val="009049D6"/>
    <w:rsid w:val="009079FA"/>
    <w:rsid w:val="00911680"/>
    <w:rsid w:val="00912E53"/>
    <w:rsid w:val="009141EC"/>
    <w:rsid w:val="00917964"/>
    <w:rsid w:val="0092725C"/>
    <w:rsid w:val="00930CE7"/>
    <w:rsid w:val="00932B93"/>
    <w:rsid w:val="009341A8"/>
    <w:rsid w:val="00934473"/>
    <w:rsid w:val="00935C01"/>
    <w:rsid w:val="009372C2"/>
    <w:rsid w:val="0093766C"/>
    <w:rsid w:val="009435E0"/>
    <w:rsid w:val="00947D9D"/>
    <w:rsid w:val="0095687C"/>
    <w:rsid w:val="00957245"/>
    <w:rsid w:val="0096003D"/>
    <w:rsid w:val="009601F4"/>
    <w:rsid w:val="00970A24"/>
    <w:rsid w:val="0097505A"/>
    <w:rsid w:val="009751B4"/>
    <w:rsid w:val="009779FA"/>
    <w:rsid w:val="009925DF"/>
    <w:rsid w:val="00992B49"/>
    <w:rsid w:val="00996367"/>
    <w:rsid w:val="009B0E08"/>
    <w:rsid w:val="009B2E21"/>
    <w:rsid w:val="009B4D2D"/>
    <w:rsid w:val="009B7D86"/>
    <w:rsid w:val="009C2A7C"/>
    <w:rsid w:val="009C45D1"/>
    <w:rsid w:val="009C73A1"/>
    <w:rsid w:val="009D01D8"/>
    <w:rsid w:val="009D123B"/>
    <w:rsid w:val="009D6F55"/>
    <w:rsid w:val="009E22DE"/>
    <w:rsid w:val="009F1AF9"/>
    <w:rsid w:val="009F62C1"/>
    <w:rsid w:val="009F7FD0"/>
    <w:rsid w:val="00A00B42"/>
    <w:rsid w:val="00A027F6"/>
    <w:rsid w:val="00A04A6C"/>
    <w:rsid w:val="00A0762B"/>
    <w:rsid w:val="00A15D2E"/>
    <w:rsid w:val="00A215DB"/>
    <w:rsid w:val="00A2391D"/>
    <w:rsid w:val="00A27403"/>
    <w:rsid w:val="00A27D70"/>
    <w:rsid w:val="00A308B4"/>
    <w:rsid w:val="00A30EF5"/>
    <w:rsid w:val="00A31477"/>
    <w:rsid w:val="00A3197D"/>
    <w:rsid w:val="00A34C8C"/>
    <w:rsid w:val="00A35622"/>
    <w:rsid w:val="00A36E33"/>
    <w:rsid w:val="00A3772E"/>
    <w:rsid w:val="00A40891"/>
    <w:rsid w:val="00A409F1"/>
    <w:rsid w:val="00A44ABB"/>
    <w:rsid w:val="00A472AD"/>
    <w:rsid w:val="00A636A6"/>
    <w:rsid w:val="00A64B0D"/>
    <w:rsid w:val="00A665E7"/>
    <w:rsid w:val="00A73D56"/>
    <w:rsid w:val="00A741BF"/>
    <w:rsid w:val="00A77E98"/>
    <w:rsid w:val="00A800B4"/>
    <w:rsid w:val="00A801C3"/>
    <w:rsid w:val="00A82504"/>
    <w:rsid w:val="00A84247"/>
    <w:rsid w:val="00A87371"/>
    <w:rsid w:val="00A901AB"/>
    <w:rsid w:val="00A902E0"/>
    <w:rsid w:val="00AA00F5"/>
    <w:rsid w:val="00AA28DD"/>
    <w:rsid w:val="00AA580A"/>
    <w:rsid w:val="00AA5C6E"/>
    <w:rsid w:val="00AA7942"/>
    <w:rsid w:val="00AB09C6"/>
    <w:rsid w:val="00AB20FB"/>
    <w:rsid w:val="00AB7793"/>
    <w:rsid w:val="00AC2628"/>
    <w:rsid w:val="00AC4E3C"/>
    <w:rsid w:val="00AC5952"/>
    <w:rsid w:val="00AD3EC0"/>
    <w:rsid w:val="00AD7F6F"/>
    <w:rsid w:val="00AE3237"/>
    <w:rsid w:val="00AE3A93"/>
    <w:rsid w:val="00AE44FC"/>
    <w:rsid w:val="00AF02FB"/>
    <w:rsid w:val="00AF41BB"/>
    <w:rsid w:val="00AF42D3"/>
    <w:rsid w:val="00AF4A78"/>
    <w:rsid w:val="00AF6373"/>
    <w:rsid w:val="00AF7F1E"/>
    <w:rsid w:val="00B0012C"/>
    <w:rsid w:val="00B018B5"/>
    <w:rsid w:val="00B03AED"/>
    <w:rsid w:val="00B06C8C"/>
    <w:rsid w:val="00B10C67"/>
    <w:rsid w:val="00B215B0"/>
    <w:rsid w:val="00B22088"/>
    <w:rsid w:val="00B23041"/>
    <w:rsid w:val="00B23A4D"/>
    <w:rsid w:val="00B23C18"/>
    <w:rsid w:val="00B30D14"/>
    <w:rsid w:val="00B35114"/>
    <w:rsid w:val="00B35DBD"/>
    <w:rsid w:val="00B4102E"/>
    <w:rsid w:val="00B41142"/>
    <w:rsid w:val="00B422AB"/>
    <w:rsid w:val="00B4277F"/>
    <w:rsid w:val="00B45EC1"/>
    <w:rsid w:val="00B5084B"/>
    <w:rsid w:val="00B52897"/>
    <w:rsid w:val="00B5410C"/>
    <w:rsid w:val="00B5721D"/>
    <w:rsid w:val="00B6489E"/>
    <w:rsid w:val="00B65AF1"/>
    <w:rsid w:val="00B65EBF"/>
    <w:rsid w:val="00B67C22"/>
    <w:rsid w:val="00B7197D"/>
    <w:rsid w:val="00B71F16"/>
    <w:rsid w:val="00B731A7"/>
    <w:rsid w:val="00B74B95"/>
    <w:rsid w:val="00B81C31"/>
    <w:rsid w:val="00B82610"/>
    <w:rsid w:val="00B83D1C"/>
    <w:rsid w:val="00B83DFB"/>
    <w:rsid w:val="00B87258"/>
    <w:rsid w:val="00BA1E3D"/>
    <w:rsid w:val="00BA1F23"/>
    <w:rsid w:val="00BA40A9"/>
    <w:rsid w:val="00BA5214"/>
    <w:rsid w:val="00BA61B1"/>
    <w:rsid w:val="00BA7B81"/>
    <w:rsid w:val="00BB42CC"/>
    <w:rsid w:val="00BB4D8C"/>
    <w:rsid w:val="00BB553F"/>
    <w:rsid w:val="00BC6555"/>
    <w:rsid w:val="00BC73E5"/>
    <w:rsid w:val="00BD2F6E"/>
    <w:rsid w:val="00BD3A17"/>
    <w:rsid w:val="00BD620D"/>
    <w:rsid w:val="00BE1712"/>
    <w:rsid w:val="00BE257A"/>
    <w:rsid w:val="00BE3DB5"/>
    <w:rsid w:val="00BE6BD9"/>
    <w:rsid w:val="00BE7C61"/>
    <w:rsid w:val="00BF28CE"/>
    <w:rsid w:val="00C014A3"/>
    <w:rsid w:val="00C0184E"/>
    <w:rsid w:val="00C17FD4"/>
    <w:rsid w:val="00C2005B"/>
    <w:rsid w:val="00C21C25"/>
    <w:rsid w:val="00C23D35"/>
    <w:rsid w:val="00C240BD"/>
    <w:rsid w:val="00C26531"/>
    <w:rsid w:val="00C35146"/>
    <w:rsid w:val="00C43239"/>
    <w:rsid w:val="00C5412E"/>
    <w:rsid w:val="00C5448E"/>
    <w:rsid w:val="00C54F8B"/>
    <w:rsid w:val="00C606D4"/>
    <w:rsid w:val="00C620BE"/>
    <w:rsid w:val="00C65DC9"/>
    <w:rsid w:val="00C70863"/>
    <w:rsid w:val="00C76EFA"/>
    <w:rsid w:val="00C80D99"/>
    <w:rsid w:val="00C8169C"/>
    <w:rsid w:val="00C8255E"/>
    <w:rsid w:val="00C82F97"/>
    <w:rsid w:val="00C85349"/>
    <w:rsid w:val="00C856C1"/>
    <w:rsid w:val="00C86F3C"/>
    <w:rsid w:val="00C87891"/>
    <w:rsid w:val="00C92A3F"/>
    <w:rsid w:val="00C955D5"/>
    <w:rsid w:val="00CA3A8D"/>
    <w:rsid w:val="00CB45A3"/>
    <w:rsid w:val="00CB4854"/>
    <w:rsid w:val="00CB5FE1"/>
    <w:rsid w:val="00CB6C73"/>
    <w:rsid w:val="00CC3773"/>
    <w:rsid w:val="00CC585B"/>
    <w:rsid w:val="00CD06AD"/>
    <w:rsid w:val="00CD2141"/>
    <w:rsid w:val="00CD3972"/>
    <w:rsid w:val="00CD4D97"/>
    <w:rsid w:val="00CE068E"/>
    <w:rsid w:val="00CE778C"/>
    <w:rsid w:val="00CF3144"/>
    <w:rsid w:val="00CF5C74"/>
    <w:rsid w:val="00CF61F0"/>
    <w:rsid w:val="00CF7FF8"/>
    <w:rsid w:val="00D06ADB"/>
    <w:rsid w:val="00D07DCB"/>
    <w:rsid w:val="00D13526"/>
    <w:rsid w:val="00D15C83"/>
    <w:rsid w:val="00D17E01"/>
    <w:rsid w:val="00D24188"/>
    <w:rsid w:val="00D2583B"/>
    <w:rsid w:val="00D2679F"/>
    <w:rsid w:val="00D27672"/>
    <w:rsid w:val="00D3102B"/>
    <w:rsid w:val="00D31DF7"/>
    <w:rsid w:val="00D32D69"/>
    <w:rsid w:val="00D37A42"/>
    <w:rsid w:val="00D40055"/>
    <w:rsid w:val="00D43DAB"/>
    <w:rsid w:val="00D4418E"/>
    <w:rsid w:val="00D452F3"/>
    <w:rsid w:val="00D458DE"/>
    <w:rsid w:val="00D52828"/>
    <w:rsid w:val="00D53491"/>
    <w:rsid w:val="00D53649"/>
    <w:rsid w:val="00D5530C"/>
    <w:rsid w:val="00D5598E"/>
    <w:rsid w:val="00D5702B"/>
    <w:rsid w:val="00D608AD"/>
    <w:rsid w:val="00D709E7"/>
    <w:rsid w:val="00D724BF"/>
    <w:rsid w:val="00D756C6"/>
    <w:rsid w:val="00D77DF4"/>
    <w:rsid w:val="00D8157E"/>
    <w:rsid w:val="00D82307"/>
    <w:rsid w:val="00D86FC3"/>
    <w:rsid w:val="00D90986"/>
    <w:rsid w:val="00D91B67"/>
    <w:rsid w:val="00D94E4A"/>
    <w:rsid w:val="00D9653B"/>
    <w:rsid w:val="00D97169"/>
    <w:rsid w:val="00DA05A1"/>
    <w:rsid w:val="00DA07F1"/>
    <w:rsid w:val="00DA29A7"/>
    <w:rsid w:val="00DA403B"/>
    <w:rsid w:val="00DA61C8"/>
    <w:rsid w:val="00DA6C8B"/>
    <w:rsid w:val="00DB12A7"/>
    <w:rsid w:val="00DB248E"/>
    <w:rsid w:val="00DB438C"/>
    <w:rsid w:val="00DC295E"/>
    <w:rsid w:val="00DC3AA6"/>
    <w:rsid w:val="00DC3BB3"/>
    <w:rsid w:val="00DC6E5A"/>
    <w:rsid w:val="00DD26C3"/>
    <w:rsid w:val="00DD404E"/>
    <w:rsid w:val="00DD5A19"/>
    <w:rsid w:val="00DE7494"/>
    <w:rsid w:val="00DF4937"/>
    <w:rsid w:val="00E01395"/>
    <w:rsid w:val="00E044F2"/>
    <w:rsid w:val="00E07347"/>
    <w:rsid w:val="00E16C54"/>
    <w:rsid w:val="00E2226C"/>
    <w:rsid w:val="00E22DFF"/>
    <w:rsid w:val="00E249A2"/>
    <w:rsid w:val="00E357EC"/>
    <w:rsid w:val="00E376A8"/>
    <w:rsid w:val="00E37CD3"/>
    <w:rsid w:val="00E43B0C"/>
    <w:rsid w:val="00E44FD6"/>
    <w:rsid w:val="00E47D77"/>
    <w:rsid w:val="00E5023D"/>
    <w:rsid w:val="00E5074A"/>
    <w:rsid w:val="00E52F35"/>
    <w:rsid w:val="00E53824"/>
    <w:rsid w:val="00E60B59"/>
    <w:rsid w:val="00E6336C"/>
    <w:rsid w:val="00E73BC8"/>
    <w:rsid w:val="00E743CB"/>
    <w:rsid w:val="00E74773"/>
    <w:rsid w:val="00E75757"/>
    <w:rsid w:val="00E803BA"/>
    <w:rsid w:val="00E810A2"/>
    <w:rsid w:val="00E84B13"/>
    <w:rsid w:val="00E866B7"/>
    <w:rsid w:val="00E972B0"/>
    <w:rsid w:val="00EB3109"/>
    <w:rsid w:val="00EB61B6"/>
    <w:rsid w:val="00EC0AF5"/>
    <w:rsid w:val="00EC49FD"/>
    <w:rsid w:val="00EC4EBF"/>
    <w:rsid w:val="00ED0482"/>
    <w:rsid w:val="00ED185D"/>
    <w:rsid w:val="00EE13D1"/>
    <w:rsid w:val="00EE3F61"/>
    <w:rsid w:val="00EE71A6"/>
    <w:rsid w:val="00EE7FC9"/>
    <w:rsid w:val="00F05CD8"/>
    <w:rsid w:val="00F136E1"/>
    <w:rsid w:val="00F139AF"/>
    <w:rsid w:val="00F16B6C"/>
    <w:rsid w:val="00F20AEE"/>
    <w:rsid w:val="00F20FBF"/>
    <w:rsid w:val="00F21A60"/>
    <w:rsid w:val="00F26BC3"/>
    <w:rsid w:val="00F27321"/>
    <w:rsid w:val="00F400DC"/>
    <w:rsid w:val="00F40918"/>
    <w:rsid w:val="00F40F4B"/>
    <w:rsid w:val="00F52598"/>
    <w:rsid w:val="00F533C7"/>
    <w:rsid w:val="00F5391F"/>
    <w:rsid w:val="00F61A1D"/>
    <w:rsid w:val="00F62AA8"/>
    <w:rsid w:val="00F63322"/>
    <w:rsid w:val="00F72829"/>
    <w:rsid w:val="00F74739"/>
    <w:rsid w:val="00F7511F"/>
    <w:rsid w:val="00F7571C"/>
    <w:rsid w:val="00F758DE"/>
    <w:rsid w:val="00F7692C"/>
    <w:rsid w:val="00F8107B"/>
    <w:rsid w:val="00F82484"/>
    <w:rsid w:val="00F846A0"/>
    <w:rsid w:val="00F930B8"/>
    <w:rsid w:val="00F944A1"/>
    <w:rsid w:val="00F950A8"/>
    <w:rsid w:val="00FA2131"/>
    <w:rsid w:val="00FA3742"/>
    <w:rsid w:val="00FA40A9"/>
    <w:rsid w:val="00FA5CAD"/>
    <w:rsid w:val="00FA6DF2"/>
    <w:rsid w:val="00FB5FC1"/>
    <w:rsid w:val="00FB69C9"/>
    <w:rsid w:val="00FC088B"/>
    <w:rsid w:val="00FC2714"/>
    <w:rsid w:val="00FD100B"/>
    <w:rsid w:val="00FD367A"/>
    <w:rsid w:val="00FD5E11"/>
    <w:rsid w:val="00FE1EB2"/>
    <w:rsid w:val="00FE30E6"/>
    <w:rsid w:val="00FE4A7A"/>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1D173731"/>
  <w15:docId w15:val="{3D6E6D57-7E89-4AB2-9D50-179A4876D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1B5E4-A99D-490F-A28A-64CD3145D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2619</TotalTime>
  <Pages>11</Pages>
  <Words>742</Words>
  <Characters>4085</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635</cp:revision>
  <cp:lastPrinted>2018-03-12T09:18:00Z</cp:lastPrinted>
  <dcterms:created xsi:type="dcterms:W3CDTF">2018-02-02T13:49:00Z</dcterms:created>
  <dcterms:modified xsi:type="dcterms:W3CDTF">2018-06-11T09:05:00Z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jean-luc.attal@ostrum.com</vt:lpwstr>
  </property>
  <property fmtid="{D5CDD505-2E9C-101B-9397-08002B2CF9AE}" pid="6" name="MSIP_Label_797e4f81-4b1c-4a3a-b237-8636707719dc_SetDate">
    <vt:lpwstr>2018-04-06T11:47:54.1052964+02:00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