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D67E50">
        <w:rPr>
          <w:rFonts w:ascii="Calibri Light" w:hAnsi="Calibri Light" w:cs="Arial"/>
          <w:b/>
          <w:sz w:val="44"/>
          <w:szCs w:val="44"/>
        </w:rPr>
        <w:t>25</w:t>
      </w:r>
      <w:r w:rsidR="00FD5E11">
        <w:rPr>
          <w:rFonts w:ascii="Calibri Light" w:hAnsi="Calibri Light" w:cs="Arial"/>
          <w:b/>
          <w:sz w:val="44"/>
          <w:szCs w:val="44"/>
        </w:rPr>
        <w:t xml:space="preserve"> </w:t>
      </w:r>
      <w:r w:rsidR="00196168">
        <w:rPr>
          <w:rFonts w:ascii="Calibri Light" w:hAnsi="Calibri Light" w:cs="Arial"/>
          <w:b/>
          <w:sz w:val="44"/>
          <w:szCs w:val="44"/>
        </w:rPr>
        <w:t>juin</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343C28" w:rsidRDefault="00343C28" w:rsidP="00F72829">
      <w:pPr>
        <w:jc w:val="both"/>
        <w:rPr>
          <w:rFonts w:ascii="Arial" w:hAnsi="Arial" w:cs="Arial"/>
          <w:b/>
          <w:sz w:val="22"/>
          <w:szCs w:val="22"/>
        </w:rPr>
      </w:pPr>
    </w:p>
    <w:p w:rsidR="00FB5FC1" w:rsidRPr="00800AB1" w:rsidRDefault="00FB5FC1"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r w:rsidRPr="0059618B">
        <w:rPr>
          <w:rFonts w:ascii="Arial" w:hAnsi="Arial" w:cs="Arial"/>
          <w:b/>
          <w:sz w:val="28"/>
          <w:szCs w:val="28"/>
          <w:u w:val="single"/>
        </w:rPr>
        <w:t>Monthly</w:t>
      </w:r>
    </w:p>
    <w:p w:rsidR="00F72829" w:rsidRPr="00613E70" w:rsidRDefault="00A2655E" w:rsidP="00B65AF1">
      <w:pPr>
        <w:autoSpaceDE w:val="0"/>
        <w:ind w:left="-283"/>
        <w:jc w:val="both"/>
        <w:rPr>
          <w:rFonts w:ascii="Arial" w:hAnsi="Arial" w:cs="Arial"/>
          <w:b/>
          <w:sz w:val="28"/>
          <w:szCs w:val="28"/>
          <w:u w:val="single"/>
        </w:rPr>
      </w:pPr>
      <w:r>
        <w:rPr>
          <w:rFonts w:ascii="Arial" w:hAnsi="Arial" w:cs="Arial"/>
          <w:b/>
          <w:noProof/>
          <w:sz w:val="28"/>
          <w:szCs w:val="28"/>
          <w:u w:val="single"/>
        </w:rPr>
        <w:drawing>
          <wp:inline distT="0" distB="0" distL="0" distR="0">
            <wp:extent cx="6645467" cy="4176584"/>
            <wp:effectExtent l="0" t="0" r="3175" b="0"/>
            <wp:docPr id="4" name="Image 4" descr="C:\Temp\Bloomberg\temp\bfmDE9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DE9C.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7832" cy="4178070"/>
                    </a:xfrm>
                    <a:prstGeom prst="rect">
                      <a:avLst/>
                    </a:prstGeom>
                    <a:noFill/>
                    <a:ln>
                      <a:noFill/>
                    </a:ln>
                  </pic:spPr>
                </pic:pic>
              </a:graphicData>
            </a:graphic>
          </wp:inline>
        </w:drawing>
      </w:r>
    </w:p>
    <w:p w:rsidR="00F72829" w:rsidRPr="00613E70" w:rsidRDefault="00F72829" w:rsidP="00F72829">
      <w:pPr>
        <w:autoSpaceDE w:val="0"/>
        <w:jc w:val="both"/>
        <w:rPr>
          <w:rFonts w:ascii="Arial" w:hAnsi="Arial" w:cs="Arial"/>
          <w:b/>
          <w:sz w:val="28"/>
          <w:szCs w:val="28"/>
          <w:u w:val="single"/>
        </w:rPr>
      </w:pPr>
      <w:r w:rsidRPr="00613E70">
        <w:rPr>
          <w:rFonts w:ascii="Arial" w:hAnsi="Arial" w:cs="Arial"/>
          <w:b/>
          <w:sz w:val="28"/>
          <w:szCs w:val="28"/>
          <w:u w:val="single"/>
        </w:rPr>
        <w:t>Weekly</w:t>
      </w:r>
    </w:p>
    <w:p w:rsidR="000D4E0C" w:rsidRPr="00613E70" w:rsidRDefault="00A2655E" w:rsidP="00B23A4D">
      <w:pPr>
        <w:autoSpaceDE w:val="0"/>
        <w:ind w:left="-283"/>
        <w:jc w:val="both"/>
        <w:rPr>
          <w:rFonts w:ascii="Arial" w:hAnsi="Arial" w:cs="Arial"/>
          <w:b/>
          <w:sz w:val="28"/>
          <w:szCs w:val="28"/>
          <w:u w:val="single"/>
        </w:rPr>
      </w:pPr>
      <w:r>
        <w:rPr>
          <w:rFonts w:ascii="Arial" w:hAnsi="Arial" w:cs="Arial"/>
          <w:b/>
          <w:noProof/>
          <w:sz w:val="28"/>
          <w:szCs w:val="28"/>
          <w:u w:val="single"/>
        </w:rPr>
        <w:lastRenderedPageBreak/>
        <w:drawing>
          <wp:inline distT="0" distB="0" distL="0" distR="0">
            <wp:extent cx="6645467" cy="4364407"/>
            <wp:effectExtent l="0" t="0" r="3175" b="0"/>
            <wp:docPr id="5" name="Image 5" descr="C:\Temp\Bloomberg\temp\bfm9A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9A4.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7498" cy="4365741"/>
                    </a:xfrm>
                    <a:prstGeom prst="rect">
                      <a:avLst/>
                    </a:prstGeom>
                    <a:noFill/>
                    <a:ln>
                      <a:noFill/>
                    </a:ln>
                  </pic:spPr>
                </pic:pic>
              </a:graphicData>
            </a:graphic>
          </wp:inline>
        </w:drawing>
      </w:r>
    </w:p>
    <w:p w:rsidR="000D4E0C" w:rsidRPr="00613E70" w:rsidRDefault="005E3841" w:rsidP="00B65AF1">
      <w:pPr>
        <w:autoSpaceDE w:val="0"/>
        <w:ind w:left="-851"/>
        <w:jc w:val="both"/>
        <w:rPr>
          <w:rFonts w:ascii="Arial" w:hAnsi="Arial" w:cs="Arial"/>
          <w:b/>
          <w:sz w:val="28"/>
          <w:szCs w:val="28"/>
          <w:u w:val="single"/>
        </w:rPr>
      </w:pPr>
      <w:r w:rsidRPr="00613E70">
        <w:rPr>
          <w:rFonts w:ascii="Arial" w:hAnsi="Arial" w:cs="Arial"/>
          <w:b/>
          <w:sz w:val="28"/>
          <w:szCs w:val="28"/>
        </w:rPr>
        <w:t xml:space="preserve">           </w:t>
      </w:r>
      <w:r w:rsidR="000D4E0C" w:rsidRPr="00613E70">
        <w:rPr>
          <w:rFonts w:ascii="Arial" w:hAnsi="Arial" w:cs="Arial"/>
          <w:b/>
          <w:sz w:val="28"/>
          <w:szCs w:val="28"/>
          <w:u w:val="single"/>
        </w:rPr>
        <w:t>Daily</w:t>
      </w:r>
    </w:p>
    <w:p w:rsidR="00AC18B9" w:rsidRPr="00613E70" w:rsidRDefault="00A2655E" w:rsidP="00050AE9">
      <w:pPr>
        <w:autoSpaceDE w:val="0"/>
        <w:ind w:left="-283"/>
        <w:jc w:val="both"/>
        <w:rPr>
          <w:rFonts w:ascii="Arial" w:hAnsi="Arial" w:cs="Arial"/>
          <w:b/>
          <w:sz w:val="28"/>
          <w:szCs w:val="28"/>
          <w:u w:val="single"/>
        </w:rPr>
      </w:pPr>
      <w:r>
        <w:rPr>
          <w:rFonts w:ascii="Arial" w:hAnsi="Arial" w:cs="Arial"/>
          <w:b/>
          <w:noProof/>
          <w:sz w:val="28"/>
          <w:szCs w:val="28"/>
          <w:u w:val="single"/>
        </w:rPr>
        <w:drawing>
          <wp:inline distT="0" distB="0" distL="0" distR="0">
            <wp:extent cx="6640010" cy="2723429"/>
            <wp:effectExtent l="0" t="0" r="0" b="1270"/>
            <wp:docPr id="6" name="Image 6" descr="C:\Temp\Bloomberg\temp\bfm665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6657.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74219" cy="2737460"/>
                    </a:xfrm>
                    <a:prstGeom prst="rect">
                      <a:avLst/>
                    </a:prstGeom>
                    <a:noFill/>
                    <a:ln>
                      <a:noFill/>
                    </a:ln>
                  </pic:spPr>
                </pic:pic>
              </a:graphicData>
            </a:graphic>
          </wp:inline>
        </w:drawing>
      </w:r>
    </w:p>
    <w:p w:rsidR="00FC2714" w:rsidRDefault="00F72829" w:rsidP="00D67E50">
      <w:pPr>
        <w:jc w:val="both"/>
        <w:rPr>
          <w:rFonts w:ascii="Tahoma" w:hAnsi="Tahoma" w:cs="Tahoma"/>
        </w:rPr>
      </w:pPr>
      <w:r w:rsidRPr="008631EB">
        <w:rPr>
          <w:rFonts w:ascii="Arial" w:hAnsi="Arial" w:cs="Arial"/>
          <w:b/>
        </w:rPr>
        <w:t>M</w:t>
      </w:r>
      <w:r w:rsidR="00DC3AA6" w:rsidRPr="008631EB">
        <w:rPr>
          <w:rFonts w:ascii="Arial" w:hAnsi="Arial" w:cs="Arial"/>
          <w:b/>
        </w:rPr>
        <w:t xml:space="preserve"> : </w:t>
      </w:r>
      <w:r w:rsidR="003261EE" w:rsidRPr="00B35114">
        <w:rPr>
          <w:rFonts w:ascii="Tahoma" w:hAnsi="Tahoma" w:cs="Tahoma"/>
        </w:rPr>
        <w:t xml:space="preserve">Le </w:t>
      </w:r>
      <w:r w:rsidR="00226C24">
        <w:rPr>
          <w:rFonts w:ascii="Tahoma" w:hAnsi="Tahoma" w:cs="Tahoma"/>
        </w:rPr>
        <w:t xml:space="preserve">nuage sert de résistance. La SSA se situe sur </w:t>
      </w:r>
      <w:r w:rsidR="006B5DB2">
        <w:rPr>
          <w:rFonts w:ascii="Tahoma" w:hAnsi="Tahoma" w:cs="Tahoma"/>
        </w:rPr>
        <w:t xml:space="preserve">0.65. Elle baissera le mois prochain sur 0.48. Pour </w:t>
      </w:r>
      <w:r w:rsidR="00067109">
        <w:rPr>
          <w:rFonts w:ascii="Tahoma" w:hAnsi="Tahoma" w:cs="Tahoma"/>
        </w:rPr>
        <w:t>soutenir</w:t>
      </w:r>
      <w:r w:rsidR="006B5DB2">
        <w:rPr>
          <w:rFonts w:ascii="Tahoma" w:hAnsi="Tahoma" w:cs="Tahoma"/>
        </w:rPr>
        <w:t xml:space="preserve"> le contexte baissier</w:t>
      </w:r>
      <w:r w:rsidR="00067109">
        <w:rPr>
          <w:rFonts w:ascii="Tahoma" w:hAnsi="Tahoma" w:cs="Tahoma"/>
        </w:rPr>
        <w:t xml:space="preserve"> de l’analyse graphique</w:t>
      </w:r>
      <w:r w:rsidR="006B5DB2">
        <w:rPr>
          <w:rFonts w:ascii="Tahoma" w:hAnsi="Tahoma" w:cs="Tahoma"/>
        </w:rPr>
        <w:t>, le taux devra se maint</w:t>
      </w:r>
      <w:r w:rsidR="00BF5C20">
        <w:rPr>
          <w:rFonts w:ascii="Tahoma" w:hAnsi="Tahoma" w:cs="Tahoma"/>
        </w:rPr>
        <w:t>e</w:t>
      </w:r>
      <w:r w:rsidR="006B5DB2">
        <w:rPr>
          <w:rFonts w:ascii="Tahoma" w:hAnsi="Tahoma" w:cs="Tahoma"/>
        </w:rPr>
        <w:t>nir au cours des prochaines semaines sous 0.48.</w:t>
      </w:r>
    </w:p>
    <w:p w:rsidR="006B5DB2" w:rsidRDefault="006B5DB2" w:rsidP="00D67E50">
      <w:pPr>
        <w:jc w:val="both"/>
        <w:rPr>
          <w:rFonts w:ascii="Tahoma" w:hAnsi="Tahoma" w:cs="Tahoma"/>
        </w:rPr>
      </w:pPr>
      <w:r>
        <w:rPr>
          <w:rFonts w:ascii="Tahoma" w:hAnsi="Tahoma" w:cs="Tahoma"/>
        </w:rPr>
        <w:t xml:space="preserve">TS et KS sont plates. Elles indiquent que le marché </w:t>
      </w:r>
      <w:r w:rsidR="00BF5C20">
        <w:rPr>
          <w:rFonts w:ascii="Tahoma" w:hAnsi="Tahoma" w:cs="Tahoma"/>
        </w:rPr>
        <w:t xml:space="preserve">n’est pas en tendance. Elles avantagent la consolidation. Ces courbes traceront </w:t>
      </w:r>
      <w:r w:rsidR="00067109">
        <w:rPr>
          <w:rFonts w:ascii="Tahoma" w:hAnsi="Tahoma" w:cs="Tahoma"/>
        </w:rPr>
        <w:t xml:space="preserve">une résistance ou un </w:t>
      </w:r>
      <w:r w:rsidR="00BF5C20">
        <w:rPr>
          <w:rFonts w:ascii="Tahoma" w:hAnsi="Tahoma" w:cs="Tahoma"/>
        </w:rPr>
        <w:t xml:space="preserve">support d’autant plus fort que le marché n’est pas en mouvement. La TS forme une résistance sur 0.50 et la KS un support sur 0.30. La cassure de la TS milite pour un retour sur la KS. </w:t>
      </w:r>
    </w:p>
    <w:p w:rsidR="00D67E50" w:rsidRDefault="00D67E50" w:rsidP="00D67E50">
      <w:pPr>
        <w:jc w:val="both"/>
        <w:rPr>
          <w:rFonts w:ascii="Tahoma" w:hAnsi="Tahoma" w:cs="Tahoma"/>
        </w:rPr>
      </w:pPr>
    </w:p>
    <w:p w:rsidR="00A82504" w:rsidRDefault="003A1222" w:rsidP="00D67E50">
      <w:pPr>
        <w:jc w:val="both"/>
        <w:rPr>
          <w:rFonts w:ascii="Tahoma" w:hAnsi="Tahoma" w:cs="Tahoma"/>
        </w:rPr>
      </w:pPr>
      <w:r w:rsidRPr="008631EB">
        <w:rPr>
          <w:rFonts w:ascii="Arial" w:hAnsi="Arial" w:cs="Arial"/>
          <w:b/>
          <w:bCs/>
        </w:rPr>
        <w:t xml:space="preserve">W : </w:t>
      </w:r>
      <w:r w:rsidR="006F4736">
        <w:rPr>
          <w:rFonts w:ascii="Tahoma" w:hAnsi="Tahoma" w:cs="Tahoma"/>
        </w:rPr>
        <w:t xml:space="preserve">Les </w:t>
      </w:r>
      <w:r w:rsidR="000B7E03">
        <w:rPr>
          <w:rFonts w:ascii="Tahoma" w:hAnsi="Tahoma" w:cs="Tahoma"/>
        </w:rPr>
        <w:t>plats se retrouvent sur le moyen terme. Ils renforcent l’idée que le marché n’est plus en tendance. La KS sur 0.50 renforce la résistance évoquée sur l’unité de temps supérieure.</w:t>
      </w:r>
    </w:p>
    <w:p w:rsidR="000B7E03" w:rsidRDefault="000B7E03" w:rsidP="00D67E50">
      <w:pPr>
        <w:jc w:val="both"/>
        <w:rPr>
          <w:rFonts w:ascii="Tahoma" w:hAnsi="Tahoma" w:cs="Tahoma"/>
        </w:rPr>
      </w:pPr>
      <w:r>
        <w:rPr>
          <w:rFonts w:ascii="Tahoma" w:hAnsi="Tahoma" w:cs="Tahoma"/>
        </w:rPr>
        <w:lastRenderedPageBreak/>
        <w:t xml:space="preserve">La cassure du plat de nuage de 0.39 orientera le marché </w:t>
      </w:r>
      <w:r w:rsidR="00067109">
        <w:rPr>
          <w:rFonts w:ascii="Tahoma" w:hAnsi="Tahoma" w:cs="Tahoma"/>
        </w:rPr>
        <w:t>le support de la LS de 0.19 matérialisé par une SSB.</w:t>
      </w:r>
    </w:p>
    <w:p w:rsidR="00D67E50" w:rsidRDefault="00D67E50" w:rsidP="00D67E50">
      <w:pPr>
        <w:jc w:val="both"/>
        <w:rPr>
          <w:rFonts w:ascii="Tahoma" w:hAnsi="Tahoma" w:cs="Tahoma"/>
        </w:rPr>
      </w:pPr>
    </w:p>
    <w:p w:rsidR="00F72829" w:rsidRDefault="00A82504" w:rsidP="00FD5E11">
      <w:pPr>
        <w:jc w:val="both"/>
        <w:rPr>
          <w:rFonts w:ascii="Tahoma" w:hAnsi="Tahoma" w:cs="Tahoma"/>
        </w:rPr>
      </w:pPr>
      <w:r w:rsidRPr="008631EB">
        <w:rPr>
          <w:rFonts w:ascii="Arial" w:hAnsi="Arial" w:cs="Arial"/>
          <w:b/>
          <w:bCs/>
        </w:rPr>
        <w:t xml:space="preserve">D : </w:t>
      </w:r>
      <w:r w:rsidR="00C7405E">
        <w:rPr>
          <w:rFonts w:ascii="Tahoma" w:hAnsi="Tahoma" w:cs="Tahoma"/>
        </w:rPr>
        <w:t>Les croisements du nuage futur avantage</w:t>
      </w:r>
      <w:r w:rsidR="00067109">
        <w:rPr>
          <w:rFonts w:ascii="Tahoma" w:hAnsi="Tahoma" w:cs="Tahoma"/>
        </w:rPr>
        <w:t>nt</w:t>
      </w:r>
      <w:r w:rsidR="00C7405E">
        <w:rPr>
          <w:rFonts w:ascii="Tahoma" w:hAnsi="Tahoma" w:cs="Tahoma"/>
        </w:rPr>
        <w:t xml:space="preserve"> la consolidation. Les plats de KS et de nuage futur tracent une zone de rappel sur 0.42 qui servira au cours des prochaines séances de support ou de ré</w:t>
      </w:r>
      <w:r w:rsidR="00696B7C">
        <w:rPr>
          <w:rFonts w:ascii="Tahoma" w:hAnsi="Tahoma" w:cs="Tahoma"/>
        </w:rPr>
        <w:t>sistance selon la position du taux.</w:t>
      </w:r>
    </w:p>
    <w:p w:rsidR="00894DA5" w:rsidRPr="00FE4A7A" w:rsidRDefault="00696B7C" w:rsidP="00FD5E11">
      <w:pPr>
        <w:jc w:val="both"/>
        <w:rPr>
          <w:rFonts w:ascii="Tahoma" w:hAnsi="Tahoma" w:cs="Tahoma"/>
        </w:rPr>
      </w:pPr>
      <w:r>
        <w:rPr>
          <w:rFonts w:ascii="Tahoma" w:hAnsi="Tahoma" w:cs="Tahoma"/>
        </w:rPr>
        <w:t>Le rectangle cadre le marché entre 0.50 et 0.25.</w:t>
      </w:r>
      <w:r w:rsidR="00894DA5">
        <w:rPr>
          <w:rFonts w:ascii="Tahoma" w:hAnsi="Tahoma" w:cs="Tahoma"/>
        </w:rPr>
        <w:t xml:space="preserve"> </w:t>
      </w:r>
      <w:r w:rsidR="006B0A0C">
        <w:rPr>
          <w:rFonts w:ascii="Tahoma" w:hAnsi="Tahoma" w:cs="Tahoma"/>
        </w:rPr>
        <w:t>L</w:t>
      </w:r>
      <w:r w:rsidR="00894DA5">
        <w:rPr>
          <w:rFonts w:ascii="Tahoma" w:hAnsi="Tahoma" w:cs="Tahoma"/>
        </w:rPr>
        <w:t>a hausse sera envisagée en cassure de 0.50 et la baisse en rupture de 0.25. Dans le premier cas la cible sera sur 0.65 et dans le second elle sera sur 0.19.</w:t>
      </w:r>
    </w:p>
    <w:p w:rsidR="009F220A" w:rsidRPr="00FA5CAD" w:rsidRDefault="009F220A" w:rsidP="00FD5E11">
      <w:pPr>
        <w:jc w:val="both"/>
        <w:rPr>
          <w:rFonts w:ascii="Tahoma" w:hAnsi="Tahoma" w:cs="Tahoma"/>
        </w:rPr>
      </w:pPr>
    </w:p>
    <w:p w:rsidR="00804BD3" w:rsidRDefault="00F72829" w:rsidP="00732E1A">
      <w:pPr>
        <w:jc w:val="both"/>
        <w:rPr>
          <w:rFonts w:ascii="Arial" w:hAnsi="Arial" w:cs="Arial"/>
          <w:b/>
          <w:color w:val="00B0F0"/>
        </w:rPr>
      </w:pPr>
      <w:r w:rsidRPr="00F4699E">
        <w:rPr>
          <w:rFonts w:ascii="Arial" w:hAnsi="Arial" w:cs="Arial"/>
          <w:b/>
          <w:color w:val="00B0F0"/>
          <w:u w:val="single"/>
        </w:rPr>
        <w:t>HEBDOMADAIRE</w:t>
      </w:r>
      <w:r w:rsidRPr="00F4699E">
        <w:rPr>
          <w:rFonts w:ascii="Arial" w:hAnsi="Arial" w:cs="Arial"/>
          <w:b/>
          <w:color w:val="00B0F0"/>
        </w:rPr>
        <w:t xml:space="preserve"> : </w:t>
      </w:r>
      <w:r w:rsidR="009F220A">
        <w:rPr>
          <w:rFonts w:ascii="Arial" w:hAnsi="Arial" w:cs="Arial"/>
          <w:b/>
          <w:color w:val="00B0F0"/>
        </w:rPr>
        <w:t xml:space="preserve">La résistance de 0.65 maintient le marché dans un environnement baissier de long terme. </w:t>
      </w:r>
      <w:r w:rsidR="003B5E8C" w:rsidRPr="00116E2A">
        <w:rPr>
          <w:rFonts w:ascii="Arial" w:hAnsi="Arial" w:cs="Arial"/>
          <w:b/>
          <w:color w:val="00B0F0"/>
        </w:rPr>
        <w:t xml:space="preserve">La rupture de 0.42 a orienté le marché </w:t>
      </w:r>
      <w:r w:rsidR="006B0A0C">
        <w:rPr>
          <w:rFonts w:ascii="Arial" w:hAnsi="Arial" w:cs="Arial"/>
          <w:b/>
          <w:color w:val="00B0F0"/>
        </w:rPr>
        <w:t>vers</w:t>
      </w:r>
      <w:r w:rsidR="003B5E8C" w:rsidRPr="00116E2A">
        <w:rPr>
          <w:rFonts w:ascii="Arial" w:hAnsi="Arial" w:cs="Arial"/>
          <w:b/>
          <w:color w:val="00B0F0"/>
        </w:rPr>
        <w:t xml:space="preserve"> son support </w:t>
      </w:r>
      <w:r w:rsidR="006B0A0C">
        <w:rPr>
          <w:rFonts w:ascii="Arial" w:hAnsi="Arial" w:cs="Arial"/>
          <w:b/>
          <w:color w:val="00B0F0"/>
        </w:rPr>
        <w:t xml:space="preserve">de long terme </w:t>
      </w:r>
      <w:r w:rsidR="003B5E8C" w:rsidRPr="00116E2A">
        <w:rPr>
          <w:rFonts w:ascii="Arial" w:hAnsi="Arial" w:cs="Arial"/>
          <w:b/>
          <w:color w:val="00B0F0"/>
        </w:rPr>
        <w:t>de 0.30. Pour autant le 10 ans consolide sur le court terme</w:t>
      </w:r>
      <w:r w:rsidR="00770199" w:rsidRPr="00116E2A">
        <w:rPr>
          <w:rFonts w:ascii="Arial" w:hAnsi="Arial" w:cs="Arial"/>
          <w:b/>
          <w:color w:val="00B0F0"/>
        </w:rPr>
        <w:t xml:space="preserve">. Le point de 0.30 peut être dépassé temporairement mais </w:t>
      </w:r>
      <w:r w:rsidR="003B5E8C" w:rsidRPr="00116E2A">
        <w:rPr>
          <w:rFonts w:ascii="Arial" w:hAnsi="Arial" w:cs="Arial"/>
          <w:b/>
          <w:color w:val="00B0F0"/>
        </w:rPr>
        <w:t>entre 0.5</w:t>
      </w:r>
      <w:r w:rsidR="008A3DE3" w:rsidRPr="00116E2A">
        <w:rPr>
          <w:rFonts w:ascii="Arial" w:hAnsi="Arial" w:cs="Arial"/>
          <w:b/>
          <w:color w:val="00B0F0"/>
        </w:rPr>
        <w:t xml:space="preserve">0 et 0.25, le </w:t>
      </w:r>
      <w:r w:rsidR="00116E2A" w:rsidRPr="00116E2A">
        <w:rPr>
          <w:rFonts w:ascii="Arial" w:hAnsi="Arial" w:cs="Arial"/>
          <w:b/>
          <w:color w:val="00B0F0"/>
        </w:rPr>
        <w:t>niveau</w:t>
      </w:r>
      <w:r w:rsidR="008A3DE3" w:rsidRPr="00116E2A">
        <w:rPr>
          <w:rFonts w:ascii="Arial" w:hAnsi="Arial" w:cs="Arial"/>
          <w:b/>
          <w:color w:val="00B0F0"/>
        </w:rPr>
        <w:t xml:space="preserve"> de 0.42 sera une force de rappel </w:t>
      </w:r>
      <w:r w:rsidR="00770199" w:rsidRPr="00116E2A">
        <w:rPr>
          <w:rFonts w:ascii="Arial" w:hAnsi="Arial" w:cs="Arial"/>
          <w:b/>
          <w:color w:val="00B0F0"/>
        </w:rPr>
        <w:t>qui limitera le potentiel de baisse du taux.</w:t>
      </w:r>
    </w:p>
    <w:p w:rsidR="00050AE9" w:rsidRDefault="00050AE9" w:rsidP="00732E1A">
      <w:pPr>
        <w:jc w:val="both"/>
        <w:rPr>
          <w:rFonts w:ascii="Arial" w:hAnsi="Arial" w:cs="Arial"/>
          <w:b/>
          <w:color w:val="00B0F0"/>
        </w:rPr>
      </w:pPr>
    </w:p>
    <w:p w:rsidR="00050AE9" w:rsidRPr="00050AE9" w:rsidRDefault="00515845" w:rsidP="00050AE9">
      <w:pPr>
        <w:jc w:val="both"/>
        <w:rPr>
          <w:rFonts w:ascii="Arial" w:hAnsi="Arial" w:cs="Arial"/>
          <w:i/>
          <w:u w:val="single"/>
        </w:rPr>
      </w:pPr>
      <w:bookmarkStart w:id="1" w:name="_Hlk517686546"/>
      <w:r w:rsidRPr="00050AE9">
        <w:rPr>
          <w:rFonts w:ascii="Arial" w:hAnsi="Arial" w:cs="Arial"/>
          <w:b/>
          <w:u w:val="single"/>
        </w:rPr>
        <w:t>Conclusion du comité d’analyse technique mensuel du 19 juin 2018 :</w:t>
      </w:r>
      <w:bookmarkEnd w:id="1"/>
      <w:r w:rsidR="00050AE9" w:rsidRPr="00050AE9">
        <w:rPr>
          <w:rFonts w:ascii="Arial" w:hAnsi="Arial" w:cs="Arial"/>
          <w:b/>
          <w:u w:val="single"/>
        </w:rPr>
        <w:t xml:space="preserve"> </w:t>
      </w:r>
      <w:r w:rsidR="00050AE9" w:rsidRPr="00050AE9">
        <w:rPr>
          <w:rFonts w:ascii="Arial" w:hAnsi="Arial" w:cs="Arial"/>
          <w:i/>
        </w:rPr>
        <w:t>Le maintien du 10 ans sous 0.65 avantage la baisse. Pour autant, le marché n’est pas en tendance que ce soit sur le long terme ou sur le moyen terme. Il est trop tôt pour envisager une baisse plus étendue du 10 ans. La consolidation parait être dans ce contexte le scénario le plus probable. Quoi qu’il en soit, cet environnement renforce le poids des supports et des résistances</w:t>
      </w:r>
    </w:p>
    <w:p w:rsidR="00050AE9" w:rsidRPr="00050AE9" w:rsidRDefault="00050AE9" w:rsidP="00050AE9">
      <w:pPr>
        <w:spacing w:after="60"/>
        <w:jc w:val="both"/>
        <w:outlineLvl w:val="1"/>
        <w:rPr>
          <w:rFonts w:ascii="Arial" w:hAnsi="Arial" w:cs="Arial"/>
          <w:i/>
        </w:rPr>
      </w:pPr>
      <w:r w:rsidRPr="00050AE9">
        <w:rPr>
          <w:rFonts w:ascii="Arial" w:hAnsi="Arial" w:cs="Arial"/>
          <w:i/>
        </w:rPr>
        <w:t>Sous 0.65, le support de 0.50 a été franchi pour servir aujourd’hui de résistance. Le point suivant se situe sur 0.30. Cet objectif sera la cible tant que 0.42 servira de résistance.</w:t>
      </w:r>
    </w:p>
    <w:p w:rsidR="00515845" w:rsidRPr="00050AE9" w:rsidRDefault="00050AE9" w:rsidP="00050AE9">
      <w:pPr>
        <w:spacing w:after="60"/>
        <w:jc w:val="both"/>
        <w:outlineLvl w:val="1"/>
        <w:rPr>
          <w:rFonts w:ascii="Arial" w:hAnsi="Arial" w:cs="Arial"/>
          <w:i/>
        </w:rPr>
      </w:pPr>
      <w:r w:rsidRPr="00050AE9">
        <w:rPr>
          <w:rFonts w:ascii="Arial" w:hAnsi="Arial" w:cs="Arial"/>
          <w:i/>
        </w:rPr>
        <w:t>La consolidation qui parait être le scénario privilégié implique qu’en tenue de 0.30, le taux repartira à la hausse pour venir tester la résistance de 0.42, suivie de 0.50 et de 0.65.</w:t>
      </w:r>
    </w:p>
    <w:p w:rsidR="00E60B59" w:rsidRPr="00515845" w:rsidRDefault="003E1B3F" w:rsidP="003952D7">
      <w:pPr>
        <w:jc w:val="both"/>
        <w:rPr>
          <w:rFonts w:ascii="Arial" w:hAnsi="Arial" w:cs="Arial"/>
          <w:b/>
          <w:bCs/>
          <w:sz w:val="36"/>
          <w:szCs w:val="36"/>
          <w:u w:val="single"/>
        </w:rPr>
      </w:pPr>
      <w:r w:rsidRPr="00515845">
        <w:rPr>
          <w:rFonts w:ascii="Arial" w:hAnsi="Arial" w:cs="Arial"/>
          <w:b/>
          <w:color w:val="FF0000"/>
        </w:rPr>
        <w:t xml:space="preserve">                                          </w:t>
      </w:r>
      <w:r w:rsidRPr="00515845">
        <w:rPr>
          <w:rFonts w:ascii="Arial" w:hAnsi="Arial" w:cs="Arial"/>
          <w:b/>
          <w:bCs/>
          <w:sz w:val="36"/>
          <w:szCs w:val="36"/>
          <w:u w:val="single"/>
        </w:rPr>
        <w:t>BUND</w:t>
      </w:r>
      <w:r w:rsidR="00E60B59" w:rsidRPr="00515845">
        <w:rPr>
          <w:rFonts w:ascii="Arial" w:hAnsi="Arial" w:cs="Arial"/>
          <w:b/>
          <w:bCs/>
          <w:sz w:val="36"/>
          <w:szCs w:val="36"/>
          <w:u w:val="single"/>
        </w:rPr>
        <w:t xml:space="preserve">   (week)</w:t>
      </w:r>
    </w:p>
    <w:p w:rsidR="00BA1E3D" w:rsidRPr="00804BD3" w:rsidRDefault="00EC6109" w:rsidP="003952D7">
      <w:pPr>
        <w:jc w:val="both"/>
        <w:rPr>
          <w:rFonts w:ascii="Arial" w:hAnsi="Arial" w:cs="Arial"/>
          <w:b/>
          <w:bCs/>
          <w:sz w:val="36"/>
          <w:szCs w:val="36"/>
          <w:u w:val="single"/>
        </w:rPr>
      </w:pPr>
      <w:r>
        <w:rPr>
          <w:noProof/>
        </w:rPr>
        <w:lastRenderedPageBreak/>
        <w:drawing>
          <wp:inline distT="0" distB="0" distL="0" distR="0" wp14:anchorId="21A0A51F" wp14:editId="6A00FF55">
            <wp:extent cx="6645910" cy="5306060"/>
            <wp:effectExtent l="0" t="0" r="254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5306060"/>
                    </a:xfrm>
                    <a:prstGeom prst="rect">
                      <a:avLst/>
                    </a:prstGeom>
                  </pic:spPr>
                </pic:pic>
              </a:graphicData>
            </a:graphic>
          </wp:inline>
        </w:drawing>
      </w:r>
    </w:p>
    <w:p w:rsidR="003E1B3F" w:rsidRPr="00D67E50" w:rsidRDefault="003E1B3F" w:rsidP="003952D7">
      <w:pPr>
        <w:jc w:val="both"/>
        <w:rPr>
          <w:rFonts w:ascii="Arial" w:hAnsi="Arial" w:cs="Arial"/>
          <w:b/>
          <w:color w:val="FF0000"/>
        </w:rPr>
      </w:pPr>
    </w:p>
    <w:p w:rsidR="003E1B3F" w:rsidRPr="00D67E50" w:rsidRDefault="003E1B3F" w:rsidP="003952D7">
      <w:pPr>
        <w:jc w:val="both"/>
        <w:rPr>
          <w:rFonts w:ascii="Arial" w:hAnsi="Arial" w:cs="Arial"/>
          <w:b/>
          <w:color w:val="FF0000"/>
        </w:rPr>
      </w:pPr>
    </w:p>
    <w:p w:rsidR="0018460F" w:rsidRDefault="00DE7494" w:rsidP="00D67E50">
      <w:pPr>
        <w:jc w:val="both"/>
        <w:rPr>
          <w:rFonts w:ascii="Tahoma" w:hAnsi="Tahoma" w:cs="Tahoma"/>
        </w:rPr>
      </w:pPr>
      <w:r w:rsidRPr="00583E6E">
        <w:rPr>
          <w:rFonts w:ascii="Tahoma" w:hAnsi="Tahoma" w:cs="Tahoma"/>
        </w:rPr>
        <w:t>- L</w:t>
      </w:r>
      <w:r w:rsidR="00E34CDA">
        <w:rPr>
          <w:rFonts w:ascii="Tahoma" w:hAnsi="Tahoma" w:cs="Tahoma"/>
        </w:rPr>
        <w:t>e dépassement de la</w:t>
      </w:r>
      <w:r w:rsidR="00BD3A17" w:rsidRPr="00583E6E">
        <w:rPr>
          <w:rFonts w:ascii="Tahoma" w:hAnsi="Tahoma" w:cs="Tahoma"/>
        </w:rPr>
        <w:t xml:space="preserve"> </w:t>
      </w:r>
      <w:r w:rsidR="00E34CDA">
        <w:rPr>
          <w:rFonts w:ascii="Tahoma" w:hAnsi="Tahoma" w:cs="Tahoma"/>
        </w:rPr>
        <w:t>résistance de 161.07 sort le marché de sa dérive latérale.</w:t>
      </w:r>
    </w:p>
    <w:p w:rsidR="00E34CDA" w:rsidRDefault="00E34CDA" w:rsidP="00D67E50">
      <w:pPr>
        <w:jc w:val="both"/>
        <w:rPr>
          <w:rFonts w:ascii="Tahoma" w:hAnsi="Tahoma" w:cs="Tahoma"/>
        </w:rPr>
      </w:pPr>
    </w:p>
    <w:p w:rsidR="00E34CDA" w:rsidRDefault="00E34CDA" w:rsidP="00D67E50">
      <w:pPr>
        <w:jc w:val="both"/>
        <w:rPr>
          <w:rFonts w:ascii="Tahoma" w:hAnsi="Tahoma" w:cs="Tahoma"/>
        </w:rPr>
      </w:pPr>
      <w:r>
        <w:rPr>
          <w:rFonts w:ascii="Tahoma" w:hAnsi="Tahoma" w:cs="Tahoma"/>
        </w:rPr>
        <w:t xml:space="preserve">- </w:t>
      </w:r>
      <w:r w:rsidR="00942E0E">
        <w:rPr>
          <w:rFonts w:ascii="Tahoma" w:hAnsi="Tahoma" w:cs="Tahoma"/>
        </w:rPr>
        <w:t xml:space="preserve">Le point haut de la dernière chandelle de 162.35 représente 61.8% de retracement de la baisse comprise entre 164.19 et 159.37. Dans ce contexte, la poursuite de la hausse sera conditionnée par un maintien des prix </w:t>
      </w:r>
      <w:r w:rsidR="00830431">
        <w:rPr>
          <w:rFonts w:ascii="Tahoma" w:hAnsi="Tahoma" w:cs="Tahoma"/>
        </w:rPr>
        <w:t>au-dessus</w:t>
      </w:r>
      <w:r w:rsidR="00942E0E">
        <w:rPr>
          <w:rFonts w:ascii="Tahoma" w:hAnsi="Tahoma" w:cs="Tahoma"/>
        </w:rPr>
        <w:t xml:space="preserve"> de cette résistance.</w:t>
      </w:r>
    </w:p>
    <w:p w:rsidR="00942E0E" w:rsidRDefault="00942E0E" w:rsidP="00D67E50">
      <w:pPr>
        <w:jc w:val="both"/>
        <w:rPr>
          <w:rFonts w:ascii="Tahoma" w:hAnsi="Tahoma" w:cs="Tahoma"/>
        </w:rPr>
      </w:pPr>
    </w:p>
    <w:p w:rsidR="00942E0E" w:rsidRDefault="00942E0E" w:rsidP="00D67E50">
      <w:pPr>
        <w:jc w:val="both"/>
        <w:rPr>
          <w:rFonts w:ascii="Tahoma" w:hAnsi="Tahoma" w:cs="Tahoma"/>
        </w:rPr>
      </w:pPr>
      <w:r>
        <w:rPr>
          <w:rFonts w:ascii="Tahoma" w:hAnsi="Tahoma" w:cs="Tahoma"/>
        </w:rPr>
        <w:t xml:space="preserve">- Le rapport de force avantagera les acheteurs </w:t>
      </w:r>
      <w:r w:rsidR="00830431">
        <w:rPr>
          <w:rFonts w:ascii="Tahoma" w:hAnsi="Tahoma" w:cs="Tahoma"/>
        </w:rPr>
        <w:t>au-dessus</w:t>
      </w:r>
      <w:r>
        <w:rPr>
          <w:rFonts w:ascii="Tahoma" w:hAnsi="Tahoma" w:cs="Tahoma"/>
        </w:rPr>
        <w:t xml:space="preserve"> de 161.65.</w:t>
      </w:r>
    </w:p>
    <w:p w:rsidR="00F77222" w:rsidRDefault="00F77222" w:rsidP="00D67E50">
      <w:pPr>
        <w:jc w:val="both"/>
        <w:rPr>
          <w:rFonts w:ascii="Tahoma" w:hAnsi="Tahoma" w:cs="Tahoma"/>
        </w:rPr>
      </w:pPr>
    </w:p>
    <w:p w:rsidR="00942E0E" w:rsidRPr="00583E6E" w:rsidRDefault="007514B1" w:rsidP="00D67E50">
      <w:pPr>
        <w:jc w:val="both"/>
        <w:rPr>
          <w:rFonts w:ascii="Tahoma" w:hAnsi="Tahoma" w:cs="Tahoma"/>
        </w:rPr>
      </w:pPr>
      <w:r>
        <w:rPr>
          <w:rFonts w:ascii="Tahoma" w:hAnsi="Tahoma" w:cs="Tahoma"/>
        </w:rPr>
        <w:t xml:space="preserve">- Sous 164.19, les courbes Ichimoku vont </w:t>
      </w:r>
      <w:r w:rsidR="00830431">
        <w:rPr>
          <w:rFonts w:ascii="Tahoma" w:hAnsi="Tahoma" w:cs="Tahoma"/>
        </w:rPr>
        <w:t>rester</w:t>
      </w:r>
      <w:r>
        <w:rPr>
          <w:rFonts w:ascii="Tahoma" w:hAnsi="Tahoma" w:cs="Tahoma"/>
        </w:rPr>
        <w:t xml:space="preserve"> plates un certain temps. Elles auront tendance à </w:t>
      </w:r>
      <w:r w:rsidR="00840B16">
        <w:rPr>
          <w:rFonts w:ascii="Tahoma" w:hAnsi="Tahoma" w:cs="Tahoma"/>
        </w:rPr>
        <w:t>attirer les prix</w:t>
      </w:r>
      <w:r w:rsidR="00F77222">
        <w:rPr>
          <w:rFonts w:ascii="Tahoma" w:hAnsi="Tahoma" w:cs="Tahoma"/>
        </w:rPr>
        <w:t xml:space="preserve"> et</w:t>
      </w:r>
      <w:r w:rsidR="00840B16">
        <w:rPr>
          <w:rFonts w:ascii="Tahoma" w:hAnsi="Tahoma" w:cs="Tahoma"/>
        </w:rPr>
        <w:t xml:space="preserve"> serviront de support. La TS sera </w:t>
      </w:r>
      <w:r w:rsidR="00F77222">
        <w:rPr>
          <w:rFonts w:ascii="Tahoma" w:hAnsi="Tahoma" w:cs="Tahoma"/>
        </w:rPr>
        <w:t>le premier point</w:t>
      </w:r>
      <w:r w:rsidR="00840B16">
        <w:rPr>
          <w:rFonts w:ascii="Tahoma" w:hAnsi="Tahoma" w:cs="Tahoma"/>
        </w:rPr>
        <w:t xml:space="preserve"> sur 160.83. </w:t>
      </w:r>
    </w:p>
    <w:p w:rsidR="005A5601" w:rsidRPr="00583E6E" w:rsidRDefault="005A5601" w:rsidP="00AB20FB">
      <w:pPr>
        <w:jc w:val="both"/>
        <w:rPr>
          <w:rFonts w:ascii="Tahoma" w:hAnsi="Tahoma" w:cs="Tahoma"/>
        </w:rPr>
      </w:pPr>
    </w:p>
    <w:p w:rsidR="005A5601" w:rsidRDefault="005A5601" w:rsidP="00AB20FB">
      <w:pPr>
        <w:jc w:val="both"/>
        <w:rPr>
          <w:rFonts w:ascii="Tahoma" w:hAnsi="Tahoma" w:cs="Tahoma"/>
        </w:rPr>
      </w:pPr>
    </w:p>
    <w:p w:rsidR="00571826" w:rsidRDefault="00571826" w:rsidP="00AB20FB">
      <w:pPr>
        <w:jc w:val="both"/>
        <w:rPr>
          <w:rFonts w:ascii="Tahoma" w:hAnsi="Tahoma" w:cs="Tahoma"/>
        </w:rPr>
      </w:pPr>
    </w:p>
    <w:p w:rsidR="00571826" w:rsidRDefault="00571826" w:rsidP="00AB20FB">
      <w:pPr>
        <w:jc w:val="both"/>
        <w:rPr>
          <w:rFonts w:ascii="Tahoma" w:hAnsi="Tahoma" w:cs="Tahoma"/>
        </w:rPr>
      </w:pPr>
    </w:p>
    <w:p w:rsidR="00571826" w:rsidRDefault="00571826" w:rsidP="00AB20FB">
      <w:pPr>
        <w:jc w:val="both"/>
        <w:rPr>
          <w:rFonts w:ascii="Tahoma" w:hAnsi="Tahoma" w:cs="Tahoma"/>
        </w:rPr>
      </w:pPr>
    </w:p>
    <w:p w:rsidR="00571826" w:rsidRPr="00583E6E" w:rsidRDefault="00571826" w:rsidP="00AB20FB">
      <w:pPr>
        <w:jc w:val="both"/>
        <w:rPr>
          <w:rFonts w:ascii="Tahoma" w:hAnsi="Tahoma" w:cs="Tahoma"/>
        </w:rPr>
      </w:pPr>
    </w:p>
    <w:p w:rsidR="00875D08" w:rsidRDefault="00875D08" w:rsidP="00AB20FB">
      <w:pPr>
        <w:jc w:val="both"/>
        <w:rPr>
          <w:rFonts w:ascii="Tahoma" w:hAnsi="Tahoma" w:cs="Tahoma"/>
        </w:rPr>
      </w:pPr>
    </w:p>
    <w:p w:rsidR="00854929" w:rsidRPr="00583E6E" w:rsidRDefault="00854929" w:rsidP="00AB20FB">
      <w:pPr>
        <w:jc w:val="both"/>
        <w:rPr>
          <w:rFonts w:ascii="Tahoma" w:hAnsi="Tahoma" w:cs="Tahoma"/>
        </w:rPr>
      </w:pPr>
    </w:p>
    <w:p w:rsidR="00E60B59" w:rsidRPr="00583E6E" w:rsidRDefault="00B35DBD" w:rsidP="003952D7">
      <w:pPr>
        <w:jc w:val="both"/>
        <w:rPr>
          <w:rFonts w:ascii="Arial" w:hAnsi="Arial" w:cs="Arial"/>
          <w:b/>
          <w:bCs/>
          <w:sz w:val="36"/>
          <w:szCs w:val="36"/>
          <w:u w:val="single"/>
        </w:rPr>
      </w:pPr>
      <w:r w:rsidRPr="00583E6E">
        <w:rPr>
          <w:rFonts w:ascii="Tahoma" w:hAnsi="Tahoma" w:cs="Tahoma"/>
        </w:rPr>
        <w:t xml:space="preserve">                                       </w:t>
      </w:r>
      <w:r w:rsidRPr="00583E6E">
        <w:rPr>
          <w:rFonts w:ascii="Arial" w:hAnsi="Arial" w:cs="Arial"/>
          <w:b/>
          <w:bCs/>
          <w:sz w:val="36"/>
          <w:szCs w:val="36"/>
          <w:u w:val="single"/>
        </w:rPr>
        <w:t>BUND   (day)</w:t>
      </w:r>
    </w:p>
    <w:p w:rsidR="00B35DBD" w:rsidRPr="00583E6E" w:rsidRDefault="00B35DBD" w:rsidP="003952D7">
      <w:pPr>
        <w:jc w:val="both"/>
        <w:rPr>
          <w:rFonts w:ascii="Tahoma" w:hAnsi="Tahoma" w:cs="Tahoma"/>
        </w:rPr>
      </w:pPr>
    </w:p>
    <w:p w:rsidR="00B35DBD" w:rsidRPr="00E34CDA" w:rsidRDefault="00B35DBD" w:rsidP="003952D7">
      <w:pPr>
        <w:jc w:val="both"/>
        <w:rPr>
          <w:rFonts w:ascii="Arial" w:hAnsi="Arial" w:cs="Arial"/>
          <w:b/>
          <w:color w:val="FF0000"/>
        </w:rPr>
      </w:pPr>
    </w:p>
    <w:p w:rsidR="00A84247" w:rsidRPr="00AA580A" w:rsidRDefault="00EC6109" w:rsidP="003952D7">
      <w:pPr>
        <w:jc w:val="both"/>
        <w:rPr>
          <w:rFonts w:ascii="Arial" w:hAnsi="Arial" w:cs="Arial"/>
          <w:b/>
          <w:lang w:val="en-US"/>
        </w:rPr>
      </w:pPr>
      <w:r>
        <w:rPr>
          <w:noProof/>
        </w:rPr>
        <w:drawing>
          <wp:inline distT="0" distB="0" distL="0" distR="0" wp14:anchorId="44FCD788" wp14:editId="76A140DB">
            <wp:extent cx="6645910" cy="5306060"/>
            <wp:effectExtent l="0" t="0" r="2540" b="889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5306060"/>
                    </a:xfrm>
                    <a:prstGeom prst="rect">
                      <a:avLst/>
                    </a:prstGeom>
                  </pic:spPr>
                </pic:pic>
              </a:graphicData>
            </a:graphic>
          </wp:inline>
        </w:drawing>
      </w:r>
    </w:p>
    <w:p w:rsidR="00B35DBD" w:rsidRDefault="00B35DBD" w:rsidP="003952D7">
      <w:pPr>
        <w:jc w:val="both"/>
        <w:rPr>
          <w:rFonts w:ascii="Arial" w:hAnsi="Arial" w:cs="Arial"/>
          <w:b/>
          <w:color w:val="FF0000"/>
          <w:lang w:val="en-US"/>
        </w:rPr>
      </w:pPr>
    </w:p>
    <w:p w:rsidR="00854929" w:rsidRPr="00AA580A" w:rsidRDefault="00854929" w:rsidP="003952D7">
      <w:pPr>
        <w:jc w:val="both"/>
        <w:rPr>
          <w:rFonts w:ascii="Arial" w:hAnsi="Arial" w:cs="Arial"/>
          <w:b/>
          <w:color w:val="FF0000"/>
          <w:lang w:val="en-US"/>
        </w:rPr>
      </w:pPr>
    </w:p>
    <w:p w:rsidR="00CF61F0" w:rsidRDefault="003C27DA" w:rsidP="00D67E50">
      <w:pPr>
        <w:jc w:val="both"/>
        <w:rPr>
          <w:rFonts w:ascii="Tahoma" w:hAnsi="Tahoma" w:cs="Tahoma"/>
        </w:rPr>
      </w:pPr>
      <w:r w:rsidRPr="00A25FDD">
        <w:rPr>
          <w:rFonts w:ascii="Tahoma" w:hAnsi="Tahoma" w:cs="Tahoma"/>
        </w:rPr>
        <w:t xml:space="preserve">- </w:t>
      </w:r>
      <w:r w:rsidR="00830431" w:rsidRPr="00A25FDD">
        <w:rPr>
          <w:rFonts w:ascii="Tahoma" w:hAnsi="Tahoma" w:cs="Tahoma"/>
        </w:rPr>
        <w:t>Après</w:t>
      </w:r>
      <w:r w:rsidR="00A25FDD" w:rsidRPr="00A25FDD">
        <w:rPr>
          <w:rFonts w:ascii="Tahoma" w:hAnsi="Tahoma" w:cs="Tahoma"/>
        </w:rPr>
        <w:t xml:space="preserve"> u</w:t>
      </w:r>
      <w:r w:rsidR="00A25FDD">
        <w:rPr>
          <w:rFonts w:ascii="Tahoma" w:hAnsi="Tahoma" w:cs="Tahoma"/>
        </w:rPr>
        <w:t xml:space="preserve">ne phase d’hésitation, visible par des chandelles constituées essentiellement de mèches, les prix sont repartis à la hausse en s’établissant </w:t>
      </w:r>
      <w:r w:rsidR="00830431">
        <w:rPr>
          <w:rFonts w:ascii="Tahoma" w:hAnsi="Tahoma" w:cs="Tahoma"/>
        </w:rPr>
        <w:t>au-dessus</w:t>
      </w:r>
      <w:r w:rsidR="00A25FDD">
        <w:rPr>
          <w:rFonts w:ascii="Tahoma" w:hAnsi="Tahoma" w:cs="Tahoma"/>
        </w:rPr>
        <w:t xml:space="preserve"> de 162.00.</w:t>
      </w:r>
    </w:p>
    <w:p w:rsidR="00A25FDD" w:rsidRDefault="00A25FDD" w:rsidP="00D67E50">
      <w:pPr>
        <w:jc w:val="both"/>
        <w:rPr>
          <w:rFonts w:ascii="Tahoma" w:hAnsi="Tahoma" w:cs="Tahoma"/>
        </w:rPr>
      </w:pPr>
    </w:p>
    <w:p w:rsidR="00A25FDD" w:rsidRDefault="00A25FDD" w:rsidP="00D67E50">
      <w:pPr>
        <w:jc w:val="both"/>
        <w:rPr>
          <w:rFonts w:ascii="Tahoma" w:hAnsi="Tahoma" w:cs="Tahoma"/>
        </w:rPr>
      </w:pPr>
      <w:r>
        <w:rPr>
          <w:rFonts w:ascii="Tahoma" w:hAnsi="Tahoma" w:cs="Tahoma"/>
        </w:rPr>
        <w:t>- La longue bougie blanche du 21 juin dessine une base intermédiaire au sein du mouvement haussier</w:t>
      </w:r>
      <w:r w:rsidR="00854929" w:rsidRPr="00854929">
        <w:rPr>
          <w:rFonts w:ascii="Tahoma" w:hAnsi="Tahoma" w:cs="Tahoma"/>
        </w:rPr>
        <w:t xml:space="preserve"> </w:t>
      </w:r>
      <w:r w:rsidR="00854929">
        <w:rPr>
          <w:rFonts w:ascii="Tahoma" w:hAnsi="Tahoma" w:cs="Tahoma"/>
        </w:rPr>
        <w:t>sur 161.25</w:t>
      </w:r>
      <w:r>
        <w:rPr>
          <w:rFonts w:ascii="Tahoma" w:hAnsi="Tahoma" w:cs="Tahoma"/>
        </w:rPr>
        <w:t>.</w:t>
      </w:r>
    </w:p>
    <w:p w:rsidR="00A25FDD" w:rsidRDefault="00A25FDD" w:rsidP="00D67E50">
      <w:pPr>
        <w:jc w:val="both"/>
        <w:rPr>
          <w:rFonts w:ascii="Tahoma" w:hAnsi="Tahoma" w:cs="Tahoma"/>
        </w:rPr>
      </w:pPr>
    </w:p>
    <w:p w:rsidR="009D0B41" w:rsidRDefault="00A25FDD" w:rsidP="00D67E50">
      <w:pPr>
        <w:jc w:val="both"/>
        <w:rPr>
          <w:rFonts w:ascii="Tahoma" w:hAnsi="Tahoma" w:cs="Tahoma"/>
        </w:rPr>
      </w:pPr>
      <w:r>
        <w:rPr>
          <w:rFonts w:ascii="Tahoma" w:hAnsi="Tahoma" w:cs="Tahoma"/>
        </w:rPr>
        <w:t>- Les deux dernièr</w:t>
      </w:r>
      <w:r w:rsidR="002611C1">
        <w:rPr>
          <w:rFonts w:ascii="Tahoma" w:hAnsi="Tahoma" w:cs="Tahoma"/>
        </w:rPr>
        <w:t>es chandelles forment un harami. La seconde bougie ne prolonge pas l’action des prix de la veille. Ce peut être une alerte</w:t>
      </w:r>
      <w:r w:rsidR="009D0B41">
        <w:rPr>
          <w:rFonts w:ascii="Tahoma" w:hAnsi="Tahoma" w:cs="Tahoma"/>
        </w:rPr>
        <w:t xml:space="preserve">. Une cassure de 161.80 augmentera le niveau d’inquiétude des acheteurs et favorisera </w:t>
      </w:r>
      <w:r w:rsidR="00494714">
        <w:rPr>
          <w:rFonts w:ascii="Tahoma" w:hAnsi="Tahoma" w:cs="Tahoma"/>
        </w:rPr>
        <w:t>les prises de profit</w:t>
      </w:r>
      <w:r w:rsidR="009D0B41">
        <w:rPr>
          <w:rFonts w:ascii="Tahoma" w:hAnsi="Tahoma" w:cs="Tahoma"/>
        </w:rPr>
        <w:t>.</w:t>
      </w:r>
    </w:p>
    <w:p w:rsidR="00AB7D94" w:rsidRDefault="00AB7D94" w:rsidP="00D67E50">
      <w:pPr>
        <w:jc w:val="both"/>
        <w:rPr>
          <w:rFonts w:ascii="Tahoma" w:hAnsi="Tahoma" w:cs="Tahoma"/>
        </w:rPr>
      </w:pPr>
    </w:p>
    <w:p w:rsidR="00AB7D94" w:rsidRDefault="00AB7D94" w:rsidP="00D67E50">
      <w:pPr>
        <w:jc w:val="both"/>
        <w:rPr>
          <w:rFonts w:ascii="Tahoma" w:hAnsi="Tahoma" w:cs="Tahoma"/>
        </w:rPr>
      </w:pPr>
      <w:r>
        <w:rPr>
          <w:rFonts w:ascii="Tahoma" w:hAnsi="Tahoma" w:cs="Tahoma"/>
        </w:rPr>
        <w:t>- Les prix sont un peu trop éloignés de la TS soit respectivement 162.30 contre 160.93. Cette situation favorise les corrections</w:t>
      </w:r>
    </w:p>
    <w:p w:rsidR="009D0B41" w:rsidRDefault="009D0B41" w:rsidP="00D67E50">
      <w:pPr>
        <w:jc w:val="both"/>
        <w:rPr>
          <w:rFonts w:ascii="Tahoma" w:hAnsi="Tahoma" w:cs="Tahoma"/>
        </w:rPr>
      </w:pPr>
    </w:p>
    <w:p w:rsidR="00A25FDD" w:rsidRPr="00A25FDD" w:rsidRDefault="009D0B41" w:rsidP="00D67E50">
      <w:pPr>
        <w:jc w:val="both"/>
        <w:rPr>
          <w:rFonts w:ascii="Tahoma" w:hAnsi="Tahoma" w:cs="Tahoma"/>
        </w:rPr>
      </w:pPr>
      <w:r>
        <w:rPr>
          <w:rFonts w:ascii="Tahoma" w:hAnsi="Tahoma" w:cs="Tahoma"/>
        </w:rPr>
        <w:t>-</w:t>
      </w:r>
      <w:r w:rsidR="002611C1">
        <w:rPr>
          <w:rFonts w:ascii="Tahoma" w:hAnsi="Tahoma" w:cs="Tahoma"/>
        </w:rPr>
        <w:t xml:space="preserve"> </w:t>
      </w:r>
      <w:r w:rsidR="00AB7D94">
        <w:rPr>
          <w:rFonts w:ascii="Tahoma" w:hAnsi="Tahoma" w:cs="Tahoma"/>
        </w:rPr>
        <w:t>L’analyse en nuage trace une zone support comprise entre 160.66 et 160.78.</w:t>
      </w:r>
    </w:p>
    <w:p w:rsidR="00B81C31" w:rsidRDefault="00B81C31" w:rsidP="00F72829">
      <w:pPr>
        <w:jc w:val="both"/>
        <w:rPr>
          <w:rFonts w:ascii="Tahoma" w:hAnsi="Tahoma" w:cs="Tahoma"/>
        </w:rPr>
      </w:pPr>
    </w:p>
    <w:p w:rsidR="00E65B93" w:rsidRPr="00A25FDD" w:rsidRDefault="00E65B93" w:rsidP="00F72829">
      <w:pPr>
        <w:jc w:val="both"/>
        <w:rPr>
          <w:rFonts w:ascii="Tahoma" w:hAnsi="Tahoma" w:cs="Tahoma"/>
        </w:rPr>
      </w:pPr>
    </w:p>
    <w:p w:rsidR="00F72829" w:rsidRPr="00A25FDD" w:rsidRDefault="004E02D3" w:rsidP="008F40E5">
      <w:pPr>
        <w:jc w:val="both"/>
        <w:rPr>
          <w:rFonts w:ascii="Arial" w:hAnsi="Arial" w:cs="Arial"/>
          <w:b/>
          <w:bCs/>
          <w:sz w:val="36"/>
          <w:szCs w:val="36"/>
          <w:u w:val="single"/>
        </w:rPr>
      </w:pPr>
      <w:r w:rsidRPr="00A25FDD">
        <w:rPr>
          <w:rFonts w:ascii="Arial" w:hAnsi="Arial" w:cs="Arial"/>
          <w:b/>
          <w:bCs/>
          <w:sz w:val="28"/>
          <w:szCs w:val="28"/>
        </w:rPr>
        <w:t xml:space="preserve"> </w:t>
      </w:r>
      <w:r w:rsidR="00F72829" w:rsidRPr="00A25FDD">
        <w:rPr>
          <w:rFonts w:ascii="Arial" w:hAnsi="Arial" w:cs="Arial"/>
          <w:b/>
          <w:bCs/>
          <w:sz w:val="28"/>
          <w:szCs w:val="28"/>
        </w:rPr>
        <w:t xml:space="preserve">                                     </w:t>
      </w:r>
      <w:r w:rsidR="00F72829" w:rsidRPr="00A25FDD">
        <w:rPr>
          <w:rFonts w:ascii="Arial" w:hAnsi="Arial" w:cs="Arial"/>
          <w:b/>
          <w:bCs/>
          <w:sz w:val="36"/>
          <w:szCs w:val="36"/>
          <w:u w:val="single"/>
        </w:rPr>
        <w:t xml:space="preserve">10 ans USA </w:t>
      </w:r>
    </w:p>
    <w:p w:rsidR="00F72829" w:rsidRPr="00A25FDD" w:rsidRDefault="00F72829" w:rsidP="00BE257A">
      <w:pPr>
        <w:jc w:val="both"/>
        <w:rPr>
          <w:rFonts w:ascii="Arial" w:hAnsi="Arial" w:cs="Arial"/>
          <w:b/>
          <w:sz w:val="28"/>
          <w:szCs w:val="28"/>
          <w:u w:val="single"/>
        </w:rPr>
      </w:pPr>
      <w:r w:rsidRPr="00A25FDD">
        <w:rPr>
          <w:rFonts w:ascii="Arial" w:hAnsi="Arial" w:cs="Arial"/>
          <w:b/>
          <w:sz w:val="28"/>
          <w:szCs w:val="28"/>
          <w:u w:val="single"/>
        </w:rPr>
        <w:lastRenderedPageBreak/>
        <w:t>Monthly</w:t>
      </w:r>
    </w:p>
    <w:p w:rsidR="00B03AED" w:rsidRPr="00501F69" w:rsidRDefault="00A2655E" w:rsidP="00B65AF1">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5467" cy="4324865"/>
            <wp:effectExtent l="0" t="0" r="3175" b="0"/>
            <wp:docPr id="7" name="Image 7" descr="C:\Temp\Bloomberg\temp\bfm177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177E.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7775" cy="4326367"/>
                    </a:xfrm>
                    <a:prstGeom prst="rect">
                      <a:avLst/>
                    </a:prstGeom>
                    <a:noFill/>
                    <a:ln>
                      <a:noFill/>
                    </a:ln>
                  </pic:spPr>
                </pic:pic>
              </a:graphicData>
            </a:graphic>
          </wp:inline>
        </w:drawing>
      </w:r>
    </w:p>
    <w:p w:rsidR="00B03AED" w:rsidRPr="00501F69" w:rsidRDefault="00B03AED" w:rsidP="006E6472">
      <w:pPr>
        <w:jc w:val="both"/>
        <w:rPr>
          <w:rFonts w:ascii="Arial" w:hAnsi="Arial" w:cs="Arial"/>
          <w:b/>
          <w:bCs/>
          <w:sz w:val="28"/>
          <w:szCs w:val="28"/>
          <w:u w:val="single"/>
          <w:lang w:val="en-US"/>
        </w:rPr>
      </w:pPr>
      <w:r w:rsidRPr="00501F69">
        <w:rPr>
          <w:rFonts w:ascii="Arial" w:hAnsi="Arial" w:cs="Arial"/>
          <w:b/>
          <w:bCs/>
          <w:sz w:val="28"/>
          <w:szCs w:val="28"/>
          <w:u w:val="single"/>
          <w:lang w:val="en-US"/>
        </w:rPr>
        <w:t>Weekly</w:t>
      </w:r>
    </w:p>
    <w:p w:rsidR="006E6472" w:rsidRPr="00501F69" w:rsidRDefault="00A2655E" w:rsidP="00B65AF1">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5467" cy="4310037"/>
            <wp:effectExtent l="0" t="0" r="3175" b="0"/>
            <wp:docPr id="8" name="Image 8" descr="C:\Temp\Bloomberg\temp\bfm6A8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6A8E.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50386" cy="4313227"/>
                    </a:xfrm>
                    <a:prstGeom prst="rect">
                      <a:avLst/>
                    </a:prstGeom>
                    <a:noFill/>
                    <a:ln>
                      <a:noFill/>
                    </a:ln>
                  </pic:spPr>
                </pic:pic>
              </a:graphicData>
            </a:graphic>
          </wp:inline>
        </w:drawing>
      </w:r>
    </w:p>
    <w:p w:rsidR="00A2655E" w:rsidRPr="00571826" w:rsidRDefault="00A30EF5" w:rsidP="00571826">
      <w:pPr>
        <w:ind w:left="-850"/>
        <w:jc w:val="both"/>
        <w:rPr>
          <w:rFonts w:ascii="Arial" w:hAnsi="Arial" w:cs="Arial"/>
          <w:b/>
          <w:bCs/>
          <w:sz w:val="28"/>
          <w:szCs w:val="28"/>
          <w:u w:val="single"/>
          <w:lang w:val="en-US"/>
        </w:rPr>
      </w:pPr>
      <w:r w:rsidRPr="00501F69">
        <w:rPr>
          <w:rFonts w:ascii="Arial" w:hAnsi="Arial" w:cs="Arial"/>
          <w:b/>
          <w:bCs/>
          <w:sz w:val="28"/>
          <w:szCs w:val="28"/>
          <w:lang w:val="en-US"/>
        </w:rPr>
        <w:lastRenderedPageBreak/>
        <w:t xml:space="preserve">       </w:t>
      </w:r>
      <w:r w:rsidR="00B4277F" w:rsidRPr="00501F69">
        <w:rPr>
          <w:rFonts w:ascii="Arial" w:hAnsi="Arial" w:cs="Arial"/>
          <w:b/>
          <w:bCs/>
          <w:sz w:val="28"/>
          <w:szCs w:val="28"/>
          <w:lang w:val="en-US"/>
        </w:rPr>
        <w:t xml:space="preserve">   </w:t>
      </w:r>
      <w:r w:rsidR="00B03AED" w:rsidRPr="00501F69">
        <w:rPr>
          <w:rFonts w:ascii="Arial" w:hAnsi="Arial" w:cs="Arial"/>
          <w:b/>
          <w:bCs/>
          <w:sz w:val="28"/>
          <w:szCs w:val="28"/>
          <w:u w:val="single"/>
          <w:lang w:val="en-US"/>
        </w:rPr>
        <w:t xml:space="preserve">Daily </w:t>
      </w:r>
    </w:p>
    <w:p w:rsidR="001A7163" w:rsidRPr="00F4699E" w:rsidRDefault="00A2655E" w:rsidP="00F9531A">
      <w:pPr>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644640" cy="2609747"/>
            <wp:effectExtent l="0" t="0" r="3810" b="635"/>
            <wp:docPr id="10" name="Image 10" descr="C:\Temp\Bloomberg\temp\bfmC52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C52D.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6301" cy="2614327"/>
                    </a:xfrm>
                    <a:prstGeom prst="rect">
                      <a:avLst/>
                    </a:prstGeom>
                    <a:noFill/>
                    <a:ln>
                      <a:noFill/>
                    </a:ln>
                  </pic:spPr>
                </pic:pic>
              </a:graphicData>
            </a:graphic>
          </wp:inline>
        </w:drawing>
      </w:r>
    </w:p>
    <w:p w:rsidR="007C5980" w:rsidRPr="00F16B6C" w:rsidRDefault="00D2583B" w:rsidP="00D67E50">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xml:space="preserve"> : </w:t>
      </w:r>
      <w:r w:rsidR="00E65B93">
        <w:rPr>
          <w:rFonts w:ascii="Tahoma" w:hAnsi="Tahoma" w:cs="Tahoma"/>
        </w:rPr>
        <w:t xml:space="preserve">Le </w:t>
      </w:r>
      <w:r w:rsidR="007774E7">
        <w:rPr>
          <w:rFonts w:ascii="Tahoma" w:hAnsi="Tahoma" w:cs="Tahoma"/>
        </w:rPr>
        <w:t>t</w:t>
      </w:r>
      <w:r w:rsidR="00E51CC2">
        <w:rPr>
          <w:rFonts w:ascii="Tahoma" w:hAnsi="Tahoma" w:cs="Tahoma"/>
        </w:rPr>
        <w:t xml:space="preserve">aux et LS évoluent </w:t>
      </w:r>
      <w:r w:rsidR="004F7DB1">
        <w:rPr>
          <w:rFonts w:ascii="Tahoma" w:hAnsi="Tahoma" w:cs="Tahoma"/>
        </w:rPr>
        <w:t>au-dessus</w:t>
      </w:r>
      <w:r w:rsidR="00E51CC2">
        <w:rPr>
          <w:rFonts w:ascii="Tahoma" w:hAnsi="Tahoma" w:cs="Tahoma"/>
        </w:rPr>
        <w:t xml:space="preserve"> de leur nuage</w:t>
      </w:r>
      <w:r w:rsidR="00E65B93">
        <w:rPr>
          <w:rFonts w:ascii="Tahoma" w:hAnsi="Tahoma" w:cs="Tahoma"/>
        </w:rPr>
        <w:t xml:space="preserve"> et positionnent le marché dans</w:t>
      </w:r>
      <w:r w:rsidR="00BD512A">
        <w:rPr>
          <w:rFonts w:ascii="Tahoma" w:hAnsi="Tahoma" w:cs="Tahoma"/>
        </w:rPr>
        <w:t xml:space="preserve"> </w:t>
      </w:r>
      <w:r w:rsidR="00E65B93">
        <w:rPr>
          <w:rFonts w:ascii="Tahoma" w:hAnsi="Tahoma" w:cs="Tahoma"/>
        </w:rPr>
        <w:t>un contexte haussier sur le long terme. L’environnement</w:t>
      </w:r>
      <w:r w:rsidR="00BD512A">
        <w:rPr>
          <w:rFonts w:ascii="Tahoma" w:hAnsi="Tahoma" w:cs="Tahoma"/>
        </w:rPr>
        <w:t xml:space="preserve"> restera haussier tant que le marché se maintiendra </w:t>
      </w:r>
      <w:r w:rsidR="004F7DB1">
        <w:rPr>
          <w:rFonts w:ascii="Tahoma" w:hAnsi="Tahoma" w:cs="Tahoma"/>
        </w:rPr>
        <w:t>au-dessus</w:t>
      </w:r>
      <w:r w:rsidR="00BD512A">
        <w:rPr>
          <w:rFonts w:ascii="Tahoma" w:hAnsi="Tahoma" w:cs="Tahoma"/>
        </w:rPr>
        <w:t xml:space="preserve"> de 2.</w:t>
      </w:r>
      <w:r w:rsidR="00A6071B">
        <w:rPr>
          <w:rFonts w:ascii="Tahoma" w:hAnsi="Tahoma" w:cs="Tahoma"/>
        </w:rPr>
        <w:t>69. Une rupture ne changera pas ce cadre</w:t>
      </w:r>
      <w:r w:rsidR="00BD512A">
        <w:rPr>
          <w:rFonts w:ascii="Tahoma" w:hAnsi="Tahoma" w:cs="Tahoma"/>
        </w:rPr>
        <w:t xml:space="preserve"> mais traduira un certain affaiblissement. </w:t>
      </w:r>
      <w:r w:rsidR="004F7DB1">
        <w:rPr>
          <w:rFonts w:ascii="Tahoma" w:hAnsi="Tahoma" w:cs="Tahoma"/>
        </w:rPr>
        <w:t>Au-dessus</w:t>
      </w:r>
      <w:r w:rsidR="007774E7">
        <w:rPr>
          <w:rFonts w:ascii="Tahoma" w:hAnsi="Tahoma" w:cs="Tahoma"/>
        </w:rPr>
        <w:t xml:space="preserve"> de 2.69, l’objectif se situe sur 3.67 et représente un plat de nuage passé.</w:t>
      </w:r>
    </w:p>
    <w:p w:rsidR="00D8157E" w:rsidRDefault="00D8157E" w:rsidP="00D2583B">
      <w:pPr>
        <w:tabs>
          <w:tab w:val="left" w:pos="5868"/>
        </w:tabs>
        <w:autoSpaceDE w:val="0"/>
        <w:jc w:val="both"/>
        <w:rPr>
          <w:rFonts w:ascii="Tahoma" w:hAnsi="Tahoma" w:cs="Tahoma"/>
        </w:rPr>
      </w:pPr>
    </w:p>
    <w:p w:rsidR="00D94E4A" w:rsidRDefault="00D2583B" w:rsidP="00FD5E11">
      <w:pPr>
        <w:jc w:val="both"/>
        <w:rPr>
          <w:rFonts w:ascii="Tahoma" w:hAnsi="Tahoma" w:cs="Tahoma"/>
        </w:rPr>
      </w:pPr>
      <w:bookmarkStart w:id="2" w:name="_Hlk510791573"/>
      <w:r w:rsidRPr="00F950A8">
        <w:rPr>
          <w:rFonts w:ascii="Arial" w:hAnsi="Arial" w:cs="Arial"/>
          <w:b/>
          <w:bCs/>
        </w:rPr>
        <w:t xml:space="preserve">W : </w:t>
      </w:r>
      <w:r w:rsidR="004D2E5B" w:rsidRPr="004D2E5B">
        <w:rPr>
          <w:rFonts w:ascii="Tahoma" w:hAnsi="Tahoma" w:cs="Tahoma"/>
        </w:rPr>
        <w:t xml:space="preserve">Le </w:t>
      </w:r>
      <w:r w:rsidR="000C4889">
        <w:rPr>
          <w:rFonts w:ascii="Tahoma" w:hAnsi="Tahoma" w:cs="Tahoma"/>
        </w:rPr>
        <w:t xml:space="preserve">contexte de moyen terme est haussier. Le 10 ans évolue autour de sa TS et </w:t>
      </w:r>
      <w:r w:rsidR="004F7DB1">
        <w:rPr>
          <w:rFonts w:ascii="Tahoma" w:hAnsi="Tahoma" w:cs="Tahoma"/>
        </w:rPr>
        <w:t>au-dessus</w:t>
      </w:r>
      <w:r w:rsidR="000C4889">
        <w:rPr>
          <w:rFonts w:ascii="Tahoma" w:hAnsi="Tahoma" w:cs="Tahoma"/>
        </w:rPr>
        <w:t xml:space="preserve"> de sa KS. Entre 2.75 et 3.12, la TS </w:t>
      </w:r>
      <w:r w:rsidR="00EB29D8">
        <w:rPr>
          <w:rFonts w:ascii="Tahoma" w:hAnsi="Tahoma" w:cs="Tahoma"/>
        </w:rPr>
        <w:t>restera plate</w:t>
      </w:r>
      <w:r w:rsidR="000C4889">
        <w:rPr>
          <w:rFonts w:ascii="Tahoma" w:hAnsi="Tahoma" w:cs="Tahoma"/>
        </w:rPr>
        <w:t xml:space="preserve"> sur 2.94. Sa</w:t>
      </w:r>
      <w:r w:rsidR="00EB29D8">
        <w:rPr>
          <w:rFonts w:ascii="Tahoma" w:hAnsi="Tahoma" w:cs="Tahoma"/>
        </w:rPr>
        <w:t xml:space="preserve">ns direction, elle </w:t>
      </w:r>
      <w:r w:rsidR="000C4889">
        <w:rPr>
          <w:rFonts w:ascii="Tahoma" w:hAnsi="Tahoma" w:cs="Tahoma"/>
        </w:rPr>
        <w:t xml:space="preserve">indique que la dynamique haussière s’est affaiblie. </w:t>
      </w:r>
    </w:p>
    <w:p w:rsidR="00B5482E" w:rsidRDefault="00B5482E" w:rsidP="00FD5E11">
      <w:pPr>
        <w:jc w:val="both"/>
        <w:rPr>
          <w:rFonts w:ascii="Tahoma" w:hAnsi="Tahoma" w:cs="Tahoma"/>
        </w:rPr>
      </w:pPr>
      <w:r>
        <w:rPr>
          <w:rFonts w:ascii="Tahoma" w:hAnsi="Tahoma" w:cs="Tahoma"/>
        </w:rPr>
        <w:t xml:space="preserve">La KS </w:t>
      </w:r>
      <w:r w:rsidR="00EB29D8">
        <w:rPr>
          <w:rFonts w:ascii="Tahoma" w:hAnsi="Tahoma" w:cs="Tahoma"/>
        </w:rPr>
        <w:t xml:space="preserve">est toujours croissante et </w:t>
      </w:r>
      <w:r>
        <w:rPr>
          <w:rFonts w:ascii="Tahoma" w:hAnsi="Tahoma" w:cs="Tahoma"/>
        </w:rPr>
        <w:t>sert de support.</w:t>
      </w:r>
      <w:r w:rsidR="00C53106">
        <w:rPr>
          <w:rFonts w:ascii="Tahoma" w:hAnsi="Tahoma" w:cs="Tahoma"/>
        </w:rPr>
        <w:t xml:space="preserve"> Elle se situera cette semaine sur 2.76 et renforcera le support </w:t>
      </w:r>
      <w:r w:rsidR="00EB29D8">
        <w:rPr>
          <w:rFonts w:ascii="Tahoma" w:hAnsi="Tahoma" w:cs="Tahoma"/>
        </w:rPr>
        <w:t xml:space="preserve">évoqué </w:t>
      </w:r>
      <w:r w:rsidR="00C53106">
        <w:rPr>
          <w:rFonts w:ascii="Tahoma" w:hAnsi="Tahoma" w:cs="Tahoma"/>
        </w:rPr>
        <w:t>de 2.75.</w:t>
      </w:r>
    </w:p>
    <w:p w:rsidR="00C53106" w:rsidRPr="004D2E5B" w:rsidRDefault="00C53106" w:rsidP="00FD5E11">
      <w:pPr>
        <w:jc w:val="both"/>
        <w:rPr>
          <w:rFonts w:ascii="Tahoma" w:hAnsi="Tahoma" w:cs="Tahoma"/>
        </w:rPr>
      </w:pPr>
      <w:r>
        <w:rPr>
          <w:rFonts w:ascii="Tahoma" w:hAnsi="Tahoma" w:cs="Tahoma"/>
        </w:rPr>
        <w:t>Le plat de TS de 2.94 devra être dépassé pour envisager un retour sur les résistances de 3.05 et de 3.12. Sous 2.94, retour sur le support de 2.75/76.</w:t>
      </w:r>
    </w:p>
    <w:p w:rsidR="001259C9" w:rsidRPr="004D2E5B" w:rsidRDefault="001259C9" w:rsidP="001259C9">
      <w:pPr>
        <w:jc w:val="both"/>
        <w:rPr>
          <w:rFonts w:ascii="Tahoma" w:hAnsi="Tahoma" w:cs="Tahoma"/>
        </w:rPr>
      </w:pPr>
    </w:p>
    <w:p w:rsidR="00585A3D" w:rsidRDefault="00CF7FF8" w:rsidP="00D67E50">
      <w:pPr>
        <w:jc w:val="both"/>
        <w:rPr>
          <w:rFonts w:ascii="Tahoma" w:hAnsi="Tahoma" w:cs="Tahoma"/>
        </w:rPr>
      </w:pPr>
      <w:r w:rsidRPr="00F950A8">
        <w:rPr>
          <w:rFonts w:ascii="Arial" w:hAnsi="Arial" w:cs="Arial"/>
          <w:b/>
          <w:bCs/>
        </w:rPr>
        <w:t xml:space="preserve">D : </w:t>
      </w:r>
      <w:r w:rsidR="004D2E5B">
        <w:rPr>
          <w:rFonts w:ascii="Tahoma" w:hAnsi="Tahoma" w:cs="Tahoma"/>
        </w:rPr>
        <w:t>L</w:t>
      </w:r>
      <w:r w:rsidR="00C53106">
        <w:rPr>
          <w:rFonts w:ascii="Tahoma" w:hAnsi="Tahoma" w:cs="Tahoma"/>
        </w:rPr>
        <w:t>es croisements du nuage futur milite</w:t>
      </w:r>
      <w:r w:rsidR="00D30F7E">
        <w:rPr>
          <w:rFonts w:ascii="Tahoma" w:hAnsi="Tahoma" w:cs="Tahoma"/>
        </w:rPr>
        <w:t>nt</w:t>
      </w:r>
      <w:r w:rsidR="00C53106">
        <w:rPr>
          <w:rFonts w:ascii="Tahoma" w:hAnsi="Tahoma" w:cs="Tahoma"/>
        </w:rPr>
        <w:t xml:space="preserve"> pour l’entrée du marché dans une zone de consolidation. </w:t>
      </w:r>
      <w:r w:rsidR="00EB0F5A">
        <w:rPr>
          <w:rFonts w:ascii="Tahoma" w:hAnsi="Tahoma" w:cs="Tahoma"/>
        </w:rPr>
        <w:t>Elle sera cadrée par un rectangle compris entre 2.78 et 3.11.</w:t>
      </w:r>
      <w:r w:rsidR="00D30F7E">
        <w:rPr>
          <w:rFonts w:ascii="Tahoma" w:hAnsi="Tahoma" w:cs="Tahoma"/>
        </w:rPr>
        <w:t xml:space="preserve"> Mais p</w:t>
      </w:r>
      <w:r w:rsidR="00EB0F5A">
        <w:rPr>
          <w:rFonts w:ascii="Tahoma" w:hAnsi="Tahoma" w:cs="Tahoma"/>
        </w:rPr>
        <w:t>lus globalement</w:t>
      </w:r>
      <w:r w:rsidR="00D30F7E">
        <w:rPr>
          <w:rFonts w:ascii="Tahoma" w:hAnsi="Tahoma" w:cs="Tahoma"/>
        </w:rPr>
        <w:t>,</w:t>
      </w:r>
      <w:r w:rsidR="00EB0F5A">
        <w:rPr>
          <w:rFonts w:ascii="Tahoma" w:hAnsi="Tahoma" w:cs="Tahoma"/>
        </w:rPr>
        <w:t xml:space="preserve"> elle peut être comprise entre 2.75 et 3.12. Le point de 2.94 représente le point médian de cette zone de consolidation. </w:t>
      </w:r>
      <w:r w:rsidR="000F7495">
        <w:rPr>
          <w:rFonts w:ascii="Tahoma" w:hAnsi="Tahoma" w:cs="Tahoma"/>
        </w:rPr>
        <w:t>Il est renforcé par un plat de KS et de nuage futur.</w:t>
      </w:r>
    </w:p>
    <w:p w:rsidR="00385E03" w:rsidRPr="004D2E5B" w:rsidRDefault="00385E03" w:rsidP="00D67E50">
      <w:pPr>
        <w:jc w:val="both"/>
        <w:rPr>
          <w:rFonts w:ascii="Tahoma" w:hAnsi="Tahoma" w:cs="Tahoma"/>
        </w:rPr>
      </w:pPr>
      <w:r>
        <w:rPr>
          <w:rFonts w:ascii="Tahoma" w:hAnsi="Tahoma" w:cs="Tahoma"/>
        </w:rPr>
        <w:t>Quoi qu’il en soit, la neutralité dominera les échanges de court terme entre 3.12 et 2.75, en rupture, les objectifs des unités de temps supérieures seront pris en compte.</w:t>
      </w:r>
    </w:p>
    <w:bookmarkEnd w:id="2"/>
    <w:p w:rsidR="0093766C" w:rsidRPr="006E6472" w:rsidRDefault="00CF7FF8" w:rsidP="006E6472">
      <w:pPr>
        <w:jc w:val="both"/>
        <w:rPr>
          <w:rFonts w:ascii="Tahoma" w:hAnsi="Tahoma" w:cs="Tahoma"/>
          <w:bCs/>
        </w:rPr>
      </w:pPr>
      <w:r w:rsidRPr="00F950A8">
        <w:rPr>
          <w:rFonts w:ascii="Tahoma" w:hAnsi="Tahoma" w:cs="Tahoma"/>
          <w:bCs/>
        </w:rPr>
        <w:t xml:space="preserve">  </w:t>
      </w:r>
    </w:p>
    <w:p w:rsidR="00C8169C" w:rsidRDefault="00F72829" w:rsidP="00C8169C">
      <w:pPr>
        <w:jc w:val="both"/>
        <w:rPr>
          <w:rFonts w:ascii="Arial" w:hAnsi="Arial" w:cs="Arial"/>
          <w:b/>
          <w:color w:val="00B0F0"/>
        </w:rPr>
      </w:pPr>
      <w:r w:rsidRPr="00F4699E">
        <w:rPr>
          <w:rFonts w:ascii="Arial" w:hAnsi="Arial" w:cs="Arial"/>
          <w:b/>
          <w:color w:val="00B0F0"/>
          <w:u w:val="single"/>
        </w:rPr>
        <w:t>HEBDOMADAIRE</w:t>
      </w:r>
      <w:r w:rsidRPr="00F4699E">
        <w:rPr>
          <w:rFonts w:ascii="Arial" w:hAnsi="Arial" w:cs="Arial"/>
          <w:b/>
          <w:color w:val="00B0F0"/>
        </w:rPr>
        <w:t xml:space="preserve"> : </w:t>
      </w:r>
      <w:r w:rsidR="00A0762B" w:rsidRPr="00F4699E">
        <w:rPr>
          <w:rFonts w:ascii="Arial" w:hAnsi="Arial" w:cs="Arial"/>
          <w:b/>
          <w:color w:val="00B0F0"/>
        </w:rPr>
        <w:t>Le</w:t>
      </w:r>
      <w:r w:rsidR="00CF4284">
        <w:rPr>
          <w:rFonts w:ascii="Arial" w:hAnsi="Arial" w:cs="Arial"/>
          <w:b/>
          <w:color w:val="00B0F0"/>
        </w:rPr>
        <w:t xml:space="preserve"> contexte est haussier </w:t>
      </w:r>
      <w:r w:rsidR="004F7DB1">
        <w:rPr>
          <w:rFonts w:ascii="Arial" w:hAnsi="Arial" w:cs="Arial"/>
          <w:b/>
          <w:color w:val="00B0F0"/>
        </w:rPr>
        <w:t>au-dessus</w:t>
      </w:r>
      <w:r w:rsidR="00CF4284">
        <w:rPr>
          <w:rFonts w:ascii="Arial" w:hAnsi="Arial" w:cs="Arial"/>
          <w:b/>
          <w:color w:val="00B0F0"/>
        </w:rPr>
        <w:t xml:space="preserve"> de 2.69 avec pour cible à la hausse 3.67. L’affaiblissement de la dynamique haussière a débouché sur le court terme sur une consolidation comprise entre 2.75 et 3.12. La zone médiane de cette dérive latérale se situe autour de 2.94. Une sortie de la consolidation aura pour objectif les p</w:t>
      </w:r>
      <w:r w:rsidR="00D30F7E">
        <w:rPr>
          <w:rFonts w:ascii="Arial" w:hAnsi="Arial" w:cs="Arial"/>
          <w:b/>
          <w:color w:val="00B0F0"/>
        </w:rPr>
        <w:t>oints évoqués sur le long terme</w:t>
      </w:r>
      <w:r w:rsidR="00A0762B" w:rsidRPr="00F4699E">
        <w:rPr>
          <w:rFonts w:ascii="Arial" w:hAnsi="Arial" w:cs="Arial"/>
          <w:b/>
          <w:color w:val="00B0F0"/>
        </w:rPr>
        <w:t xml:space="preserve"> </w:t>
      </w:r>
      <w:r w:rsidR="00CF4284">
        <w:rPr>
          <w:rFonts w:ascii="Arial" w:hAnsi="Arial" w:cs="Arial"/>
          <w:b/>
          <w:color w:val="00B0F0"/>
        </w:rPr>
        <w:t>soit 2.69 ou 3.67.</w:t>
      </w:r>
    </w:p>
    <w:p w:rsidR="004A2834" w:rsidRDefault="004A2834" w:rsidP="00C8169C">
      <w:pPr>
        <w:jc w:val="both"/>
        <w:rPr>
          <w:rFonts w:ascii="Arial" w:hAnsi="Arial" w:cs="Arial"/>
          <w:b/>
          <w:color w:val="00B0F0"/>
        </w:rPr>
      </w:pPr>
    </w:p>
    <w:p w:rsidR="00050AE9" w:rsidRPr="00050AE9" w:rsidRDefault="004A2834" w:rsidP="00F9531A">
      <w:pPr>
        <w:jc w:val="both"/>
        <w:rPr>
          <w:rFonts w:ascii="Arial" w:hAnsi="Arial" w:cs="Arial"/>
          <w:b/>
          <w:i/>
          <w:u w:val="single"/>
        </w:rPr>
      </w:pPr>
      <w:r w:rsidRPr="00F9531A">
        <w:rPr>
          <w:rFonts w:ascii="Arial" w:hAnsi="Arial" w:cs="Arial"/>
          <w:b/>
          <w:u w:val="single"/>
        </w:rPr>
        <w:t>Conclusion du comité d’analyse technique mensuel du 19 juin 2018 :</w:t>
      </w:r>
      <w:r w:rsidR="00F9531A" w:rsidRPr="00201C31">
        <w:rPr>
          <w:rFonts w:ascii="Arial" w:hAnsi="Arial" w:cs="Arial"/>
          <w:b/>
        </w:rPr>
        <w:t xml:space="preserve"> </w:t>
      </w:r>
      <w:r w:rsidR="00050AE9" w:rsidRPr="00050AE9">
        <w:rPr>
          <w:rFonts w:ascii="Arial" w:hAnsi="Arial" w:cs="Arial"/>
          <w:i/>
        </w:rPr>
        <w:t>Le contexte est haussier sur toutes les unités de temps. Une remise en question du contexte global passera dans un premier temps par une cassure du support de long terme de 2.69.</w:t>
      </w:r>
    </w:p>
    <w:p w:rsidR="00050AE9" w:rsidRPr="00050AE9" w:rsidRDefault="00050AE9" w:rsidP="00050AE9">
      <w:pPr>
        <w:spacing w:after="60"/>
        <w:jc w:val="both"/>
        <w:outlineLvl w:val="1"/>
        <w:rPr>
          <w:rFonts w:ascii="Arial" w:hAnsi="Arial" w:cs="Arial"/>
          <w:i/>
        </w:rPr>
      </w:pPr>
      <w:r w:rsidRPr="00050AE9">
        <w:rPr>
          <w:rFonts w:ascii="Arial" w:hAnsi="Arial" w:cs="Arial"/>
          <w:i/>
        </w:rPr>
        <w:t>Le court terme consolide au sein d’une dérive latérale comprise entre 2.78 et 3.10. Le point médian de cette consolidation se situe sur 2.94</w:t>
      </w:r>
    </w:p>
    <w:p w:rsidR="00050AE9" w:rsidRPr="00050AE9" w:rsidRDefault="00050AE9" w:rsidP="00050AE9">
      <w:pPr>
        <w:spacing w:after="60"/>
        <w:jc w:val="both"/>
        <w:outlineLvl w:val="1"/>
        <w:rPr>
          <w:rFonts w:ascii="Arial" w:hAnsi="Arial" w:cs="Arial"/>
          <w:i/>
        </w:rPr>
      </w:pPr>
      <w:r w:rsidRPr="00050AE9">
        <w:rPr>
          <w:rFonts w:ascii="Arial" w:hAnsi="Arial" w:cs="Arial"/>
          <w:i/>
        </w:rPr>
        <w:t>Un début de retour de la dynamique de hausse de court terme passera dans un premier temps pas un maintien du marché au-dessus de 2.94. Dans un second temps, le 10 ans devra s’affranchir de la borne haute de sa dérive latérale de 3.10.</w:t>
      </w:r>
    </w:p>
    <w:p w:rsidR="004A2834" w:rsidRPr="00F26242" w:rsidRDefault="00050AE9" w:rsidP="00F26242">
      <w:pPr>
        <w:spacing w:after="60"/>
        <w:jc w:val="both"/>
        <w:outlineLvl w:val="1"/>
        <w:rPr>
          <w:rFonts w:ascii="Arial" w:hAnsi="Arial" w:cs="Arial"/>
          <w:i/>
        </w:rPr>
      </w:pPr>
      <w:r w:rsidRPr="00050AE9">
        <w:rPr>
          <w:rFonts w:ascii="Arial" w:hAnsi="Arial" w:cs="Arial"/>
          <w:i/>
        </w:rPr>
        <w:lastRenderedPageBreak/>
        <w:t>Sous 2.94, la poursuite de la consolidation du marché sera favorisée.</w:t>
      </w:r>
    </w:p>
    <w:p w:rsidR="00EB3109" w:rsidRPr="00A2655E" w:rsidRDefault="00D43DAB" w:rsidP="00D43DAB">
      <w:pPr>
        <w:jc w:val="both"/>
        <w:rPr>
          <w:rFonts w:ascii="Arial" w:hAnsi="Arial" w:cs="Arial"/>
          <w:b/>
          <w:bCs/>
          <w:sz w:val="36"/>
          <w:szCs w:val="36"/>
          <w:u w:val="single"/>
          <w:lang w:val="en-US"/>
        </w:rPr>
      </w:pPr>
      <w:r w:rsidRPr="00C014A3">
        <w:rPr>
          <w:rFonts w:ascii="Arial" w:hAnsi="Arial" w:cs="Arial"/>
          <w:b/>
          <w:bCs/>
          <w:sz w:val="36"/>
          <w:szCs w:val="36"/>
        </w:rPr>
        <w:t xml:space="preserve">     </w:t>
      </w:r>
      <w:r w:rsidR="00292AF0" w:rsidRPr="00C014A3">
        <w:rPr>
          <w:rFonts w:ascii="Arial" w:hAnsi="Arial" w:cs="Arial"/>
          <w:b/>
          <w:bCs/>
          <w:sz w:val="36"/>
          <w:szCs w:val="36"/>
        </w:rPr>
        <w:t xml:space="preserve">                       </w:t>
      </w:r>
      <w:r w:rsidRPr="00C014A3">
        <w:rPr>
          <w:rFonts w:ascii="Arial" w:hAnsi="Arial" w:cs="Arial"/>
          <w:b/>
          <w:bCs/>
          <w:sz w:val="36"/>
          <w:szCs w:val="36"/>
        </w:rPr>
        <w:t xml:space="preserve"> </w:t>
      </w:r>
      <w:r w:rsidRPr="00A2655E">
        <w:rPr>
          <w:rFonts w:ascii="Arial" w:hAnsi="Arial" w:cs="Arial"/>
          <w:b/>
          <w:bCs/>
          <w:sz w:val="36"/>
          <w:szCs w:val="36"/>
          <w:u w:val="single"/>
          <w:lang w:val="en-US"/>
        </w:rPr>
        <w:t xml:space="preserve">10 ans UK </w:t>
      </w:r>
    </w:p>
    <w:p w:rsidR="006E6472" w:rsidRPr="00A2655E" w:rsidRDefault="006E6472" w:rsidP="006E6472">
      <w:pPr>
        <w:jc w:val="both"/>
        <w:rPr>
          <w:rFonts w:ascii="Arial" w:hAnsi="Arial" w:cs="Arial"/>
          <w:b/>
          <w:sz w:val="28"/>
          <w:szCs w:val="28"/>
          <w:u w:val="single"/>
          <w:lang w:val="en-US"/>
        </w:rPr>
      </w:pPr>
      <w:r w:rsidRPr="00A2655E">
        <w:rPr>
          <w:rFonts w:ascii="Arial" w:hAnsi="Arial" w:cs="Arial"/>
          <w:b/>
          <w:sz w:val="28"/>
          <w:szCs w:val="28"/>
          <w:u w:val="single"/>
          <w:lang w:val="en-US"/>
        </w:rPr>
        <w:t>Monthly</w:t>
      </w:r>
    </w:p>
    <w:p w:rsidR="006E6472" w:rsidRPr="00A2655E" w:rsidRDefault="00A2655E" w:rsidP="00B65AF1">
      <w:pPr>
        <w:ind w:left="-283"/>
        <w:jc w:val="both"/>
        <w:rPr>
          <w:rFonts w:ascii="Arial" w:hAnsi="Arial" w:cs="Arial"/>
          <w:b/>
          <w:bCs/>
          <w:lang w:val="en-US"/>
        </w:rPr>
      </w:pPr>
      <w:r>
        <w:rPr>
          <w:rFonts w:ascii="Arial" w:hAnsi="Arial" w:cs="Arial"/>
          <w:b/>
          <w:bCs/>
          <w:noProof/>
        </w:rPr>
        <w:drawing>
          <wp:inline distT="0" distB="0" distL="0" distR="0">
            <wp:extent cx="6645467" cy="4329808"/>
            <wp:effectExtent l="0" t="0" r="3175" b="0"/>
            <wp:docPr id="12" name="Image 12" descr="C:\Temp\Bloomberg\temp\bfmB2A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Temp\Bloomberg\temp\bfmB2A8.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0072" cy="4332808"/>
                    </a:xfrm>
                    <a:prstGeom prst="rect">
                      <a:avLst/>
                    </a:prstGeom>
                    <a:noFill/>
                    <a:ln>
                      <a:noFill/>
                    </a:ln>
                  </pic:spPr>
                </pic:pic>
              </a:graphicData>
            </a:graphic>
          </wp:inline>
        </w:drawing>
      </w:r>
    </w:p>
    <w:p w:rsidR="00D43DAB" w:rsidRPr="00A2655E" w:rsidRDefault="00D43DAB" w:rsidP="00D43DAB">
      <w:pPr>
        <w:jc w:val="both"/>
        <w:rPr>
          <w:rFonts w:ascii="Arial" w:hAnsi="Arial" w:cs="Arial"/>
          <w:b/>
          <w:bCs/>
          <w:sz w:val="28"/>
          <w:szCs w:val="28"/>
          <w:u w:val="single"/>
          <w:lang w:val="en-US"/>
        </w:rPr>
      </w:pPr>
      <w:r w:rsidRPr="00A2655E">
        <w:rPr>
          <w:rFonts w:ascii="Arial" w:hAnsi="Arial" w:cs="Arial"/>
          <w:b/>
          <w:bCs/>
          <w:sz w:val="28"/>
          <w:szCs w:val="28"/>
          <w:u w:val="single"/>
          <w:lang w:val="en-US"/>
        </w:rPr>
        <w:t>Weekly</w:t>
      </w:r>
    </w:p>
    <w:p w:rsidR="00D43DAB" w:rsidRPr="00A2655E" w:rsidRDefault="00A2655E" w:rsidP="00B65AF1">
      <w:pPr>
        <w:tabs>
          <w:tab w:val="left" w:pos="4395"/>
        </w:tabs>
        <w:ind w:left="-283"/>
        <w:jc w:val="both"/>
        <w:rPr>
          <w:rFonts w:ascii="Arial" w:hAnsi="Arial" w:cs="Arial"/>
          <w:b/>
          <w:bCs/>
          <w:sz w:val="28"/>
          <w:szCs w:val="28"/>
          <w:u w:val="single"/>
          <w:lang w:val="en-US"/>
        </w:rPr>
      </w:pPr>
      <w:r>
        <w:rPr>
          <w:rFonts w:ascii="Arial" w:hAnsi="Arial" w:cs="Arial"/>
          <w:b/>
          <w:bCs/>
          <w:noProof/>
          <w:sz w:val="28"/>
          <w:szCs w:val="28"/>
          <w:u w:val="single"/>
        </w:rPr>
        <w:lastRenderedPageBreak/>
        <w:drawing>
          <wp:inline distT="0" distB="0" distL="0" distR="0">
            <wp:extent cx="6645467" cy="4374292"/>
            <wp:effectExtent l="0" t="0" r="3175" b="7620"/>
            <wp:docPr id="13" name="Image 13" descr="C:\Temp\Bloomberg\temp\bfm2FC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Temp\Bloomberg\temp\bfm2FC5.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8228" cy="4376109"/>
                    </a:xfrm>
                    <a:prstGeom prst="rect">
                      <a:avLst/>
                    </a:prstGeom>
                    <a:noFill/>
                    <a:ln>
                      <a:noFill/>
                    </a:ln>
                  </pic:spPr>
                </pic:pic>
              </a:graphicData>
            </a:graphic>
          </wp:inline>
        </w:drawing>
      </w:r>
    </w:p>
    <w:p w:rsidR="006E6472" w:rsidRPr="00A2655E" w:rsidRDefault="006E6472" w:rsidP="006E6472">
      <w:pPr>
        <w:jc w:val="both"/>
        <w:rPr>
          <w:rFonts w:ascii="Arial" w:hAnsi="Arial" w:cs="Arial"/>
          <w:b/>
          <w:bCs/>
          <w:sz w:val="28"/>
          <w:szCs w:val="28"/>
          <w:u w:val="single"/>
          <w:lang w:val="en-US"/>
        </w:rPr>
      </w:pPr>
      <w:r w:rsidRPr="00A2655E">
        <w:rPr>
          <w:rFonts w:ascii="Arial" w:hAnsi="Arial" w:cs="Arial"/>
          <w:b/>
          <w:bCs/>
          <w:sz w:val="28"/>
          <w:szCs w:val="28"/>
          <w:u w:val="single"/>
          <w:lang w:val="en-US"/>
        </w:rPr>
        <w:t xml:space="preserve">Daily </w:t>
      </w:r>
    </w:p>
    <w:p w:rsidR="003B2136" w:rsidRPr="00A87A14" w:rsidRDefault="00A2655E" w:rsidP="006E6472">
      <w:pPr>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3964" cy="3202872"/>
            <wp:effectExtent l="0" t="0" r="5080" b="0"/>
            <wp:docPr id="14" name="Image 14" descr="C:\Temp\Bloomberg\temp\bfmAF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Temp\Bloomberg\temp\bfmAF03.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3703" cy="3212388"/>
                    </a:xfrm>
                    <a:prstGeom prst="rect">
                      <a:avLst/>
                    </a:prstGeom>
                    <a:noFill/>
                    <a:ln>
                      <a:noFill/>
                    </a:ln>
                  </pic:spPr>
                </pic:pic>
              </a:graphicData>
            </a:graphic>
          </wp:inline>
        </w:drawing>
      </w:r>
    </w:p>
    <w:p w:rsidR="00332645" w:rsidRDefault="005530C2" w:rsidP="00196168">
      <w:pPr>
        <w:jc w:val="both"/>
        <w:rPr>
          <w:rFonts w:ascii="Tahoma" w:hAnsi="Tahoma" w:cs="Tahoma"/>
          <w:bCs/>
        </w:rPr>
      </w:pPr>
      <w:r w:rsidRPr="00B52897">
        <w:rPr>
          <w:rFonts w:ascii="Arial" w:hAnsi="Arial" w:cs="Arial"/>
          <w:b/>
          <w:bCs/>
        </w:rPr>
        <w:t>M :</w:t>
      </w:r>
      <w:r w:rsidRPr="00B52897">
        <w:rPr>
          <w:rFonts w:ascii="Tahoma" w:hAnsi="Tahoma" w:cs="Tahoma"/>
          <w:bCs/>
        </w:rPr>
        <w:t xml:space="preserve"> </w:t>
      </w:r>
      <w:r w:rsidR="00196168" w:rsidRPr="00094EB3">
        <w:rPr>
          <w:rFonts w:ascii="Tahoma" w:hAnsi="Tahoma" w:cs="Tahoma"/>
          <w:bCs/>
        </w:rPr>
        <w:t>L</w:t>
      </w:r>
      <w:r w:rsidR="001900F2" w:rsidRPr="00094EB3">
        <w:rPr>
          <w:rFonts w:ascii="Tahoma" w:hAnsi="Tahoma" w:cs="Tahoma"/>
          <w:bCs/>
        </w:rPr>
        <w:t xml:space="preserve">e </w:t>
      </w:r>
      <w:r w:rsidR="003B2136">
        <w:rPr>
          <w:rFonts w:ascii="Tahoma" w:hAnsi="Tahoma" w:cs="Tahoma"/>
          <w:bCs/>
        </w:rPr>
        <w:t>contexte de long terme est baissier. La forme plus ou moins plate du nuage futur ainsi que de la TS et de la KS</w:t>
      </w:r>
      <w:r w:rsidR="00AF7935">
        <w:rPr>
          <w:rFonts w:ascii="Tahoma" w:hAnsi="Tahoma" w:cs="Tahoma"/>
          <w:bCs/>
        </w:rPr>
        <w:t>,</w:t>
      </w:r>
      <w:r w:rsidR="003B2136">
        <w:rPr>
          <w:rFonts w:ascii="Tahoma" w:hAnsi="Tahoma" w:cs="Tahoma"/>
          <w:bCs/>
        </w:rPr>
        <w:t xml:space="preserve"> nous indique que le marché n’est plus en mouvement.</w:t>
      </w:r>
    </w:p>
    <w:p w:rsidR="00852F7E" w:rsidRDefault="00852F7E" w:rsidP="00196168">
      <w:pPr>
        <w:jc w:val="both"/>
        <w:rPr>
          <w:rFonts w:ascii="Tahoma" w:hAnsi="Tahoma" w:cs="Tahoma"/>
          <w:bCs/>
        </w:rPr>
      </w:pPr>
      <w:r>
        <w:rPr>
          <w:rFonts w:ascii="Tahoma" w:hAnsi="Tahoma" w:cs="Tahoma"/>
          <w:bCs/>
        </w:rPr>
        <w:t>La TS se stabilisera sur 1.</w:t>
      </w:r>
      <w:r w:rsidR="00AF7935">
        <w:rPr>
          <w:rFonts w:ascii="Tahoma" w:hAnsi="Tahoma" w:cs="Tahoma"/>
          <w:bCs/>
        </w:rPr>
        <w:t>40</w:t>
      </w:r>
      <w:r>
        <w:rPr>
          <w:rFonts w:ascii="Tahoma" w:hAnsi="Tahoma" w:cs="Tahoma"/>
          <w:bCs/>
        </w:rPr>
        <w:t xml:space="preserve">. Sa forme confirme l’absence de dynamique du marché. La position du 10 ans par rapport à cette courbe permettra d’envisager la hausse en direction de la SSA de 1.83 ou </w:t>
      </w:r>
      <w:r w:rsidR="00AF7935">
        <w:rPr>
          <w:rFonts w:ascii="Tahoma" w:hAnsi="Tahoma" w:cs="Tahoma"/>
          <w:bCs/>
        </w:rPr>
        <w:t xml:space="preserve">la baisse en direction </w:t>
      </w:r>
      <w:r>
        <w:rPr>
          <w:rFonts w:ascii="Tahoma" w:hAnsi="Tahoma" w:cs="Tahoma"/>
          <w:bCs/>
        </w:rPr>
        <w:t>du plat de KS de 1.10.</w:t>
      </w:r>
    </w:p>
    <w:p w:rsidR="00332645" w:rsidRPr="00B52897" w:rsidRDefault="00332645" w:rsidP="001B1B61">
      <w:pPr>
        <w:jc w:val="both"/>
        <w:rPr>
          <w:rFonts w:ascii="Tahoma" w:hAnsi="Tahoma" w:cs="Tahoma"/>
          <w:bCs/>
        </w:rPr>
      </w:pPr>
    </w:p>
    <w:p w:rsidR="00AF7F1E" w:rsidRDefault="00134724" w:rsidP="00FD5E11">
      <w:pPr>
        <w:jc w:val="both"/>
        <w:rPr>
          <w:rFonts w:ascii="Tahoma" w:hAnsi="Tahoma" w:cs="Tahoma"/>
          <w:bCs/>
        </w:rPr>
      </w:pPr>
      <w:r w:rsidRPr="00F950A8">
        <w:rPr>
          <w:rFonts w:ascii="Arial" w:hAnsi="Arial" w:cs="Arial"/>
          <w:b/>
          <w:bCs/>
        </w:rPr>
        <w:lastRenderedPageBreak/>
        <w:t xml:space="preserve">W : </w:t>
      </w:r>
      <w:r w:rsidR="004337C8" w:rsidRPr="004B449F">
        <w:rPr>
          <w:rFonts w:ascii="Tahoma" w:hAnsi="Tahoma" w:cs="Tahoma"/>
          <w:bCs/>
        </w:rPr>
        <w:t>L</w:t>
      </w:r>
      <w:r w:rsidR="0006069D">
        <w:rPr>
          <w:rFonts w:ascii="Tahoma" w:hAnsi="Tahoma" w:cs="Tahoma"/>
          <w:bCs/>
        </w:rPr>
        <w:t xml:space="preserve">e haut de 1.69 du mois de </w:t>
      </w:r>
      <w:r w:rsidR="004F7DB1">
        <w:rPr>
          <w:rFonts w:ascii="Tahoma" w:hAnsi="Tahoma" w:cs="Tahoma"/>
          <w:bCs/>
        </w:rPr>
        <w:t>février</w:t>
      </w:r>
      <w:r w:rsidR="0006069D">
        <w:rPr>
          <w:rFonts w:ascii="Tahoma" w:hAnsi="Tahoma" w:cs="Tahoma"/>
          <w:bCs/>
        </w:rPr>
        <w:t xml:space="preserve"> dernier et le bas récent de 1.10 vont aplatir la KS plusieurs semaines sur 1.40.</w:t>
      </w:r>
      <w:r w:rsidR="00AC5E45">
        <w:rPr>
          <w:rFonts w:ascii="Tahoma" w:hAnsi="Tahoma" w:cs="Tahoma"/>
          <w:bCs/>
        </w:rPr>
        <w:t xml:space="preserve"> La résistance intermédiaire de 1.55 et le bas de 1.10 vont quant à eux aplatir la TS</w:t>
      </w:r>
      <w:r w:rsidR="00AF7935">
        <w:rPr>
          <w:rFonts w:ascii="Tahoma" w:hAnsi="Tahoma" w:cs="Tahoma"/>
          <w:bCs/>
        </w:rPr>
        <w:t xml:space="preserve"> sur 1.34</w:t>
      </w:r>
      <w:r w:rsidR="00AC5E45">
        <w:rPr>
          <w:rFonts w:ascii="Tahoma" w:hAnsi="Tahoma" w:cs="Tahoma"/>
          <w:bCs/>
        </w:rPr>
        <w:t>. Ces deux plats</w:t>
      </w:r>
      <w:r w:rsidR="00AF7935">
        <w:rPr>
          <w:rFonts w:ascii="Tahoma" w:hAnsi="Tahoma" w:cs="Tahoma"/>
          <w:bCs/>
        </w:rPr>
        <w:t>,</w:t>
      </w:r>
      <w:r w:rsidR="00AC5E45">
        <w:rPr>
          <w:rFonts w:ascii="Tahoma" w:hAnsi="Tahoma" w:cs="Tahoma"/>
          <w:bCs/>
        </w:rPr>
        <w:t xml:space="preserve"> renforcés par une orientation horizontale du nuage futur nous indiquent que le marché n’est plus en tendance sur cette unité de temps. Supports et résistances vont avoir un impact plus important sur le taux. Sous 1.40, le marché devrait s’orienter sur son nuage matérialisé par un plat sur 1.22, </w:t>
      </w:r>
      <w:r w:rsidR="00AF7935">
        <w:rPr>
          <w:rFonts w:ascii="Tahoma" w:hAnsi="Tahoma" w:cs="Tahoma"/>
          <w:bCs/>
        </w:rPr>
        <w:t>point</w:t>
      </w:r>
      <w:r w:rsidR="00AC5E45">
        <w:rPr>
          <w:rFonts w:ascii="Tahoma" w:hAnsi="Tahoma" w:cs="Tahoma"/>
          <w:bCs/>
        </w:rPr>
        <w:t xml:space="preserve"> intermédiaire avant le bas de 1.10.  </w:t>
      </w:r>
    </w:p>
    <w:p w:rsidR="00592CE7" w:rsidRPr="00E6336C" w:rsidRDefault="00592CE7" w:rsidP="00134724">
      <w:pPr>
        <w:jc w:val="both"/>
        <w:rPr>
          <w:rFonts w:ascii="Tahoma" w:hAnsi="Tahoma" w:cs="Tahoma"/>
          <w:bCs/>
        </w:rPr>
      </w:pPr>
    </w:p>
    <w:p w:rsidR="00FF1FC8" w:rsidRDefault="00134724" w:rsidP="00FD5E11">
      <w:pPr>
        <w:jc w:val="both"/>
        <w:rPr>
          <w:rFonts w:ascii="Tahoma" w:hAnsi="Tahoma" w:cs="Tahoma"/>
          <w:bCs/>
        </w:rPr>
      </w:pPr>
      <w:r w:rsidRPr="00F950A8">
        <w:rPr>
          <w:rFonts w:ascii="Arial" w:hAnsi="Arial" w:cs="Arial"/>
          <w:b/>
          <w:bCs/>
        </w:rPr>
        <w:t xml:space="preserve">D : </w:t>
      </w:r>
      <w:r w:rsidR="006F48CB">
        <w:rPr>
          <w:rFonts w:ascii="Tahoma" w:hAnsi="Tahoma" w:cs="Tahoma"/>
          <w:bCs/>
        </w:rPr>
        <w:t>Sur cette unité de temps, le point important est concrétisé par le plat de KS de 1.335 renforcé par un plat de nuage futur sur le même niveau.</w:t>
      </w:r>
      <w:r w:rsidR="00381240">
        <w:rPr>
          <w:rFonts w:ascii="Tahoma" w:hAnsi="Tahoma" w:cs="Tahoma"/>
          <w:bCs/>
        </w:rPr>
        <w:t xml:space="preserve"> De </w:t>
      </w:r>
      <w:r w:rsidR="00830431">
        <w:rPr>
          <w:rFonts w:ascii="Tahoma" w:hAnsi="Tahoma" w:cs="Tahoma"/>
          <w:bCs/>
        </w:rPr>
        <w:t>par</w:t>
      </w:r>
      <w:r w:rsidR="00381240">
        <w:rPr>
          <w:rFonts w:ascii="Tahoma" w:hAnsi="Tahoma" w:cs="Tahoma"/>
          <w:bCs/>
        </w:rPr>
        <w:t xml:space="preserve"> sa construction, la KS ne restera pas sur ce niveau mais son plat a dessiné pour les séances futures un point de </w:t>
      </w:r>
      <w:r w:rsidR="00CB7366">
        <w:rPr>
          <w:rFonts w:ascii="Tahoma" w:hAnsi="Tahoma" w:cs="Tahoma"/>
          <w:bCs/>
        </w:rPr>
        <w:t>support ou de résistance.</w:t>
      </w:r>
    </w:p>
    <w:p w:rsidR="00CB7366" w:rsidRDefault="00CB7366" w:rsidP="00FD5E11">
      <w:pPr>
        <w:jc w:val="both"/>
        <w:rPr>
          <w:rFonts w:ascii="Tahoma" w:hAnsi="Tahoma" w:cs="Tahoma"/>
          <w:bCs/>
        </w:rPr>
      </w:pPr>
      <w:r>
        <w:rPr>
          <w:rFonts w:ascii="Tahoma" w:hAnsi="Tahoma" w:cs="Tahoma"/>
          <w:bCs/>
        </w:rPr>
        <w:t>Dans ce contexte, la baisse sur 1.10 sera avantagée tant que le 10 ans UK se maintiendra sous 1.34.</w:t>
      </w:r>
    </w:p>
    <w:p w:rsidR="009435E0" w:rsidRPr="00C955D5" w:rsidRDefault="009435E0" w:rsidP="005530C2">
      <w:pPr>
        <w:jc w:val="both"/>
        <w:rPr>
          <w:rFonts w:ascii="Arial" w:hAnsi="Arial" w:cs="Arial"/>
          <w:color w:val="FF0000"/>
        </w:rPr>
      </w:pPr>
    </w:p>
    <w:p w:rsidR="004A2834" w:rsidRDefault="005530C2" w:rsidP="00BE257A">
      <w:pPr>
        <w:jc w:val="both"/>
        <w:rPr>
          <w:rFonts w:ascii="Arial" w:hAnsi="Arial" w:cs="Arial"/>
          <w:b/>
          <w:color w:val="00B0F0"/>
        </w:rPr>
      </w:pPr>
      <w:r w:rsidRPr="00141F36">
        <w:rPr>
          <w:rFonts w:ascii="Arial" w:hAnsi="Arial" w:cs="Arial"/>
          <w:b/>
          <w:color w:val="00B0F0"/>
          <w:u w:val="single"/>
        </w:rPr>
        <w:t>HEBDOMADAIRE</w:t>
      </w:r>
      <w:r w:rsidRPr="00141F36">
        <w:rPr>
          <w:rFonts w:ascii="Arial" w:hAnsi="Arial" w:cs="Arial"/>
          <w:b/>
          <w:color w:val="00B0F0"/>
        </w:rPr>
        <w:t xml:space="preserve"> : </w:t>
      </w:r>
      <w:r w:rsidR="00CB7366" w:rsidRPr="00141F36">
        <w:rPr>
          <w:rFonts w:ascii="Arial" w:hAnsi="Arial" w:cs="Arial"/>
          <w:b/>
          <w:color w:val="00B0F0"/>
        </w:rPr>
        <w:t xml:space="preserve">1.40 servira de point médian pour la semaine. Sous cette résistance, le marché s’orientera sur le bas récent de 1.10. Pour envisager cette cible, le 10 ans UK devra se maintenir sous 1.34 et casser le support </w:t>
      </w:r>
      <w:r w:rsidR="00830431" w:rsidRPr="00141F36">
        <w:rPr>
          <w:rFonts w:ascii="Arial" w:hAnsi="Arial" w:cs="Arial"/>
          <w:b/>
          <w:color w:val="00B0F0"/>
        </w:rPr>
        <w:t>intermédiaire</w:t>
      </w:r>
      <w:r w:rsidR="00CB7366" w:rsidRPr="00141F36">
        <w:rPr>
          <w:rFonts w:ascii="Arial" w:hAnsi="Arial" w:cs="Arial"/>
          <w:b/>
          <w:color w:val="00B0F0"/>
        </w:rPr>
        <w:t xml:space="preserve"> de 1.22. Un retour </w:t>
      </w:r>
      <w:r w:rsidR="00830431" w:rsidRPr="00141F36">
        <w:rPr>
          <w:rFonts w:ascii="Arial" w:hAnsi="Arial" w:cs="Arial"/>
          <w:b/>
          <w:color w:val="00B0F0"/>
        </w:rPr>
        <w:t>au-dessus</w:t>
      </w:r>
      <w:r w:rsidR="00CB7366" w:rsidRPr="00141F36">
        <w:rPr>
          <w:rFonts w:ascii="Arial" w:hAnsi="Arial" w:cs="Arial"/>
          <w:b/>
          <w:color w:val="00B0F0"/>
        </w:rPr>
        <w:t xml:space="preserve"> de 1.40 n’est pas exclu si le marché se maintient </w:t>
      </w:r>
      <w:r w:rsidR="00830431" w:rsidRPr="00141F36">
        <w:rPr>
          <w:rFonts w:ascii="Arial" w:hAnsi="Arial" w:cs="Arial"/>
          <w:b/>
          <w:color w:val="00B0F0"/>
        </w:rPr>
        <w:t>au-dessus</w:t>
      </w:r>
      <w:r w:rsidR="00CB7366" w:rsidRPr="00141F36">
        <w:rPr>
          <w:rFonts w:ascii="Arial" w:hAnsi="Arial" w:cs="Arial"/>
          <w:b/>
          <w:color w:val="00B0F0"/>
        </w:rPr>
        <w:t xml:space="preserve"> de 1.22 et dépasse 1.34. Dans cette éventualité, la cas</w:t>
      </w:r>
      <w:r w:rsidR="004D3A21">
        <w:rPr>
          <w:rFonts w:ascii="Arial" w:hAnsi="Arial" w:cs="Arial"/>
          <w:b/>
          <w:color w:val="00B0F0"/>
        </w:rPr>
        <w:t xml:space="preserve">sure de 1.40 orientera le taux </w:t>
      </w:r>
      <w:r w:rsidR="00CB7366" w:rsidRPr="00141F36">
        <w:rPr>
          <w:rFonts w:ascii="Arial" w:hAnsi="Arial" w:cs="Arial"/>
          <w:b/>
          <w:color w:val="00B0F0"/>
        </w:rPr>
        <w:t>sur le point intermédiaire de 1.55.</w:t>
      </w:r>
    </w:p>
    <w:p w:rsidR="004A2834" w:rsidRDefault="004A2834" w:rsidP="00BE257A">
      <w:pPr>
        <w:jc w:val="both"/>
        <w:rPr>
          <w:rFonts w:ascii="Arial" w:hAnsi="Arial" w:cs="Arial"/>
          <w:b/>
          <w:color w:val="00B0F0"/>
        </w:rPr>
      </w:pPr>
    </w:p>
    <w:p w:rsidR="00050AE9" w:rsidRPr="00572E55" w:rsidRDefault="004A2834" w:rsidP="00A87A14">
      <w:pPr>
        <w:jc w:val="both"/>
        <w:rPr>
          <w:rFonts w:ascii="Arial" w:hAnsi="Arial" w:cs="Arial"/>
          <w:b/>
          <w:i/>
          <w:u w:val="single"/>
        </w:rPr>
      </w:pPr>
      <w:r w:rsidRPr="00A87A14">
        <w:rPr>
          <w:rFonts w:ascii="Arial" w:hAnsi="Arial" w:cs="Arial"/>
          <w:b/>
          <w:u w:val="single"/>
        </w:rPr>
        <w:t>Conclusion du comité d’analyse technique mensuel du 19 juin 2018</w:t>
      </w:r>
      <w:r w:rsidR="00A87A14">
        <w:rPr>
          <w:rFonts w:ascii="Arial" w:hAnsi="Arial" w:cs="Arial"/>
          <w:b/>
          <w:u w:val="single"/>
        </w:rPr>
        <w:t> :</w:t>
      </w:r>
      <w:r w:rsidR="00A87A14" w:rsidRPr="00572E55">
        <w:rPr>
          <w:rFonts w:ascii="Arial" w:hAnsi="Arial" w:cs="Arial"/>
          <w:b/>
        </w:rPr>
        <w:t xml:space="preserve"> </w:t>
      </w:r>
      <w:r w:rsidR="00050AE9" w:rsidRPr="00572E55">
        <w:rPr>
          <w:rFonts w:ascii="Arial" w:hAnsi="Arial" w:cs="Arial"/>
          <w:i/>
        </w:rPr>
        <w:t>Le 10 ans UK consolide sur ses 3 unités de temps. Il n’y a pas de dynamique directionnelle assez forte pour envisager de nouveaux points.</w:t>
      </w:r>
    </w:p>
    <w:p w:rsidR="00050AE9" w:rsidRPr="00572E55" w:rsidRDefault="00050AE9" w:rsidP="00050AE9">
      <w:pPr>
        <w:spacing w:after="60"/>
        <w:jc w:val="both"/>
        <w:outlineLvl w:val="1"/>
        <w:rPr>
          <w:rFonts w:ascii="Arial" w:hAnsi="Arial" w:cs="Arial"/>
          <w:i/>
        </w:rPr>
      </w:pPr>
      <w:r w:rsidRPr="00572E55">
        <w:rPr>
          <w:rFonts w:ascii="Arial" w:hAnsi="Arial" w:cs="Arial"/>
          <w:i/>
        </w:rPr>
        <w:t>1.34 servira de point médian au cours des prochaines semaines.</w:t>
      </w:r>
    </w:p>
    <w:p w:rsidR="00050AE9" w:rsidRPr="00572E55" w:rsidRDefault="00050AE9" w:rsidP="00050AE9">
      <w:pPr>
        <w:spacing w:after="60"/>
        <w:jc w:val="both"/>
        <w:outlineLvl w:val="1"/>
        <w:rPr>
          <w:rFonts w:ascii="Arial" w:hAnsi="Arial" w:cs="Arial"/>
          <w:i/>
        </w:rPr>
      </w:pPr>
      <w:r w:rsidRPr="00572E55">
        <w:rPr>
          <w:rFonts w:ascii="Arial" w:hAnsi="Arial" w:cs="Arial"/>
          <w:i/>
        </w:rPr>
        <w:t>Sous 1.34, retour sur 1.10 avec en points intermédiaires 1.27 et 1.22.</w:t>
      </w:r>
    </w:p>
    <w:p w:rsidR="00612BDB" w:rsidRPr="00572E55" w:rsidRDefault="00050AE9" w:rsidP="00A87A14">
      <w:pPr>
        <w:spacing w:after="60"/>
        <w:jc w:val="both"/>
        <w:outlineLvl w:val="1"/>
        <w:rPr>
          <w:rFonts w:ascii="Tahoma" w:hAnsi="Tahoma" w:cs="Tahoma"/>
          <w:i/>
        </w:rPr>
      </w:pPr>
      <w:r w:rsidRPr="00572E55">
        <w:rPr>
          <w:rFonts w:ascii="Arial" w:hAnsi="Arial" w:cs="Arial"/>
          <w:i/>
        </w:rPr>
        <w:t>Au-dessus de 1.34, résistance sur 1.40 et 1.55 avant d’envisager le re</w:t>
      </w:r>
      <w:r w:rsidR="00A87A14" w:rsidRPr="00572E55">
        <w:rPr>
          <w:rFonts w:ascii="Arial" w:hAnsi="Arial" w:cs="Arial"/>
          <w:i/>
        </w:rPr>
        <w:t>tour sur le haut récent de 1.69.</w:t>
      </w:r>
      <w:bookmarkStart w:id="3" w:name="_GoBack"/>
      <w:bookmarkEnd w:id="3"/>
    </w:p>
    <w:p w:rsidR="00050AE9" w:rsidRPr="00366E93" w:rsidRDefault="00F72829" w:rsidP="00366E93">
      <w:pPr>
        <w:jc w:val="both"/>
        <w:rPr>
          <w:rFonts w:ascii="Arial" w:hAnsi="Arial" w:cs="Arial"/>
          <w:b/>
          <w:u w:val="single"/>
        </w:rPr>
      </w:pPr>
      <w:r w:rsidRPr="00A31477">
        <w:rPr>
          <w:rFonts w:ascii="Arial" w:hAnsi="Arial" w:cs="Arial"/>
          <w:b/>
          <w:bCs/>
          <w:color w:val="FF0000"/>
          <w:sz w:val="28"/>
          <w:szCs w:val="28"/>
        </w:rPr>
        <w:t xml:space="preserve">                         </w:t>
      </w:r>
      <w:r w:rsidR="006D7DCD" w:rsidRPr="00A31477">
        <w:rPr>
          <w:rFonts w:ascii="Arial" w:hAnsi="Arial" w:cs="Arial"/>
          <w:b/>
          <w:bCs/>
          <w:color w:val="FF0000"/>
          <w:sz w:val="28"/>
          <w:szCs w:val="28"/>
        </w:rPr>
        <w:t xml:space="preserve">       </w:t>
      </w:r>
    </w:p>
    <w:p w:rsidR="0006091F" w:rsidRDefault="0006091F" w:rsidP="00292AF0">
      <w:pPr>
        <w:jc w:val="both"/>
        <w:rPr>
          <w:rFonts w:ascii="Arial" w:hAnsi="Arial" w:cs="Arial"/>
          <w:b/>
          <w:u w:val="single"/>
        </w:rPr>
      </w:pPr>
    </w:p>
    <w:p w:rsidR="00DD404E" w:rsidRPr="0006091F" w:rsidRDefault="0006091F" w:rsidP="00292AF0">
      <w:pPr>
        <w:jc w:val="both"/>
        <w:rPr>
          <w:rFonts w:ascii="Arial" w:hAnsi="Arial" w:cs="Arial"/>
          <w:b/>
          <w:bCs/>
          <w:sz w:val="36"/>
          <w:szCs w:val="36"/>
        </w:rPr>
      </w:pPr>
      <w:r>
        <w:rPr>
          <w:rFonts w:ascii="Arial" w:hAnsi="Arial" w:cs="Arial"/>
          <w:b/>
          <w:bCs/>
          <w:sz w:val="36"/>
          <w:szCs w:val="36"/>
        </w:rPr>
        <w:t xml:space="preserve">                        </w:t>
      </w: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F72829" w:rsidRDefault="00F72829"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lastRenderedPageBreak/>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headerReference w:type="even" r:id="rId19"/>
      <w:headerReference w:type="default" r:id="rId20"/>
      <w:footerReference w:type="even" r:id="rId21"/>
      <w:footerReference w:type="default" r:id="rId22"/>
      <w:headerReference w:type="first" r:id="rId23"/>
      <w:footerReference w:type="first" r:id="rId2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6242" w:rsidRDefault="00F26242" w:rsidP="00632EAA">
      <w:r>
        <w:separator/>
      </w:r>
    </w:p>
  </w:endnote>
  <w:endnote w:type="continuationSeparator" w:id="0">
    <w:p w:rsidR="00F26242" w:rsidRDefault="00F26242"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6E93" w:rsidRDefault="00366E9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955982"/>
      <w:docPartObj>
        <w:docPartGallery w:val="Page Numbers (Bottom of Page)"/>
        <w:docPartUnique/>
      </w:docPartObj>
    </w:sdtPr>
    <w:sdtEndPr/>
    <w:sdtContent>
      <w:p w:rsidR="00F26242" w:rsidRDefault="00F26242">
        <w:pPr>
          <w:pStyle w:val="Pieddepage"/>
          <w:jc w:val="right"/>
        </w:pPr>
        <w:r>
          <w:fldChar w:fldCharType="begin"/>
        </w:r>
        <w:r>
          <w:instrText>PAGE   \* MERGEFORMAT</w:instrText>
        </w:r>
        <w:r>
          <w:fldChar w:fldCharType="separate"/>
        </w:r>
        <w:r w:rsidR="00366E93">
          <w:rPr>
            <w:noProof/>
          </w:rPr>
          <w:t>10</w:t>
        </w:r>
        <w:r>
          <w:fldChar w:fldCharType="end"/>
        </w:r>
      </w:p>
    </w:sdtContent>
  </w:sdt>
  <w:p w:rsidR="00F26242" w:rsidRDefault="00366E93">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2" name="MSIPCMfb754d9481b3135e43318f73"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366E93" w:rsidRPr="00366E93" w:rsidRDefault="00366E93" w:rsidP="00366E93">
                          <w:pPr>
                            <w:rPr>
                              <w:rFonts w:ascii="Calibri" w:hAnsi="Calibri" w:cs="Calibri"/>
                              <w:color w:val="737373"/>
                              <w:sz w:val="16"/>
                            </w:rPr>
                          </w:pPr>
                          <w:r w:rsidRPr="00366E93">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fb754d9481b3135e43318f73"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" o:allowincell="f" filled="f" stroked="f" strokeweight=".5pt">
              <v:fill o:detectmouseclick="t"/>
              <v:textbox inset="20pt,0,,0">
                <w:txbxContent>
                  <w:p w:rsidR="00366E93" w:rsidRPr="00366E93" w:rsidRDefault="00366E93" w:rsidP="00366E93">
                    <w:pPr>
                      <w:rPr>
                        <w:rFonts w:ascii="Calibri" w:hAnsi="Calibri" w:cs="Calibri"/>
                        <w:color w:val="737373"/>
                        <w:sz w:val="16"/>
                      </w:rPr>
                    </w:pPr>
                    <w:r w:rsidRPr="00366E93">
                      <w:rPr>
                        <w:rFonts w:ascii="Calibri" w:hAnsi="Calibri" w:cs="Calibri"/>
                        <w:color w:val="737373"/>
                        <w:sz w:val="16"/>
                      </w:rPr>
                      <w:t>C2 - Internal Natixis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6E93" w:rsidRDefault="00366E9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6242" w:rsidRDefault="00F26242" w:rsidP="00632EAA">
      <w:r>
        <w:separator/>
      </w:r>
    </w:p>
  </w:footnote>
  <w:footnote w:type="continuationSeparator" w:id="0">
    <w:p w:rsidR="00F26242" w:rsidRDefault="00F26242" w:rsidP="00632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6E93" w:rsidRDefault="00366E9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6E93" w:rsidRDefault="00366E93">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6E93" w:rsidRDefault="00366E9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043C9"/>
    <w:rsid w:val="00006573"/>
    <w:rsid w:val="00011200"/>
    <w:rsid w:val="00015DE9"/>
    <w:rsid w:val="00024342"/>
    <w:rsid w:val="00031AE3"/>
    <w:rsid w:val="00031D2A"/>
    <w:rsid w:val="000341AC"/>
    <w:rsid w:val="000403B1"/>
    <w:rsid w:val="00040784"/>
    <w:rsid w:val="00040AE9"/>
    <w:rsid w:val="000412FF"/>
    <w:rsid w:val="00041F25"/>
    <w:rsid w:val="00050AE9"/>
    <w:rsid w:val="0005450A"/>
    <w:rsid w:val="0006069D"/>
    <w:rsid w:val="0006091F"/>
    <w:rsid w:val="0006167C"/>
    <w:rsid w:val="00063DD8"/>
    <w:rsid w:val="000641C0"/>
    <w:rsid w:val="00067109"/>
    <w:rsid w:val="000679AC"/>
    <w:rsid w:val="00077732"/>
    <w:rsid w:val="00082509"/>
    <w:rsid w:val="000874DF"/>
    <w:rsid w:val="00090B79"/>
    <w:rsid w:val="00093D02"/>
    <w:rsid w:val="00094EB3"/>
    <w:rsid w:val="0009578D"/>
    <w:rsid w:val="0009601D"/>
    <w:rsid w:val="000A3D69"/>
    <w:rsid w:val="000A4A04"/>
    <w:rsid w:val="000B156B"/>
    <w:rsid w:val="000B6ECC"/>
    <w:rsid w:val="000B7E03"/>
    <w:rsid w:val="000C4889"/>
    <w:rsid w:val="000C5BCC"/>
    <w:rsid w:val="000C702C"/>
    <w:rsid w:val="000D17A4"/>
    <w:rsid w:val="000D21A7"/>
    <w:rsid w:val="000D268A"/>
    <w:rsid w:val="000D4E0C"/>
    <w:rsid w:val="000D6642"/>
    <w:rsid w:val="000D6D9D"/>
    <w:rsid w:val="000D72F9"/>
    <w:rsid w:val="000D7ED2"/>
    <w:rsid w:val="000E4AFF"/>
    <w:rsid w:val="000E52E1"/>
    <w:rsid w:val="000E620B"/>
    <w:rsid w:val="000E65BF"/>
    <w:rsid w:val="000F109D"/>
    <w:rsid w:val="000F565E"/>
    <w:rsid w:val="000F7250"/>
    <w:rsid w:val="000F7495"/>
    <w:rsid w:val="00100473"/>
    <w:rsid w:val="001017C5"/>
    <w:rsid w:val="00101F48"/>
    <w:rsid w:val="00104E12"/>
    <w:rsid w:val="0010583E"/>
    <w:rsid w:val="00112363"/>
    <w:rsid w:val="001155DC"/>
    <w:rsid w:val="00116E2A"/>
    <w:rsid w:val="00124CE0"/>
    <w:rsid w:val="0012530F"/>
    <w:rsid w:val="001259C9"/>
    <w:rsid w:val="0012750D"/>
    <w:rsid w:val="00134724"/>
    <w:rsid w:val="00141BFC"/>
    <w:rsid w:val="00141F36"/>
    <w:rsid w:val="001420E9"/>
    <w:rsid w:val="00142231"/>
    <w:rsid w:val="00145281"/>
    <w:rsid w:val="00151611"/>
    <w:rsid w:val="00151A43"/>
    <w:rsid w:val="00152500"/>
    <w:rsid w:val="00152726"/>
    <w:rsid w:val="001562F5"/>
    <w:rsid w:val="0017044D"/>
    <w:rsid w:val="0017255A"/>
    <w:rsid w:val="00174112"/>
    <w:rsid w:val="00174D90"/>
    <w:rsid w:val="001758CA"/>
    <w:rsid w:val="00175D7D"/>
    <w:rsid w:val="001802ED"/>
    <w:rsid w:val="00181C36"/>
    <w:rsid w:val="0018460F"/>
    <w:rsid w:val="001900F2"/>
    <w:rsid w:val="001929A4"/>
    <w:rsid w:val="0019448F"/>
    <w:rsid w:val="0019471F"/>
    <w:rsid w:val="00194BF8"/>
    <w:rsid w:val="00196168"/>
    <w:rsid w:val="001A7163"/>
    <w:rsid w:val="001B1120"/>
    <w:rsid w:val="001B1B61"/>
    <w:rsid w:val="001B313E"/>
    <w:rsid w:val="001C0911"/>
    <w:rsid w:val="001C0A29"/>
    <w:rsid w:val="001C1C7A"/>
    <w:rsid w:val="001C6728"/>
    <w:rsid w:val="001D21C0"/>
    <w:rsid w:val="001D2CFB"/>
    <w:rsid w:val="001E4E26"/>
    <w:rsid w:val="001E7AFE"/>
    <w:rsid w:val="001E7C78"/>
    <w:rsid w:val="001F0E5F"/>
    <w:rsid w:val="001F4F7F"/>
    <w:rsid w:val="002000EA"/>
    <w:rsid w:val="00201C31"/>
    <w:rsid w:val="00203583"/>
    <w:rsid w:val="00206C2A"/>
    <w:rsid w:val="002078BB"/>
    <w:rsid w:val="00207BD5"/>
    <w:rsid w:val="002110BC"/>
    <w:rsid w:val="0021328A"/>
    <w:rsid w:val="00216FF9"/>
    <w:rsid w:val="00222827"/>
    <w:rsid w:val="00226C24"/>
    <w:rsid w:val="002308C6"/>
    <w:rsid w:val="00230B15"/>
    <w:rsid w:val="00233557"/>
    <w:rsid w:val="00235DEB"/>
    <w:rsid w:val="0023751E"/>
    <w:rsid w:val="002412DD"/>
    <w:rsid w:val="002505D9"/>
    <w:rsid w:val="002506D7"/>
    <w:rsid w:val="002525D8"/>
    <w:rsid w:val="0025315D"/>
    <w:rsid w:val="00254989"/>
    <w:rsid w:val="00256885"/>
    <w:rsid w:val="00260D05"/>
    <w:rsid w:val="002611C1"/>
    <w:rsid w:val="002637F2"/>
    <w:rsid w:val="00264CE5"/>
    <w:rsid w:val="00264ECA"/>
    <w:rsid w:val="00273EF1"/>
    <w:rsid w:val="00274AD5"/>
    <w:rsid w:val="00276D92"/>
    <w:rsid w:val="0027748F"/>
    <w:rsid w:val="00281F6C"/>
    <w:rsid w:val="00292AF0"/>
    <w:rsid w:val="00294B9B"/>
    <w:rsid w:val="002A322F"/>
    <w:rsid w:val="002A3CA4"/>
    <w:rsid w:val="002A46CF"/>
    <w:rsid w:val="002A634E"/>
    <w:rsid w:val="002A63D2"/>
    <w:rsid w:val="002B0A38"/>
    <w:rsid w:val="002B268E"/>
    <w:rsid w:val="002B4084"/>
    <w:rsid w:val="002C101E"/>
    <w:rsid w:val="002C2834"/>
    <w:rsid w:val="002C2DC2"/>
    <w:rsid w:val="002C5FAC"/>
    <w:rsid w:val="002D3EC9"/>
    <w:rsid w:val="002E337C"/>
    <w:rsid w:val="002E34FF"/>
    <w:rsid w:val="002E3C88"/>
    <w:rsid w:val="002E5E89"/>
    <w:rsid w:val="002E71C2"/>
    <w:rsid w:val="002E7D66"/>
    <w:rsid w:val="002F0C21"/>
    <w:rsid w:val="002F3091"/>
    <w:rsid w:val="002F4402"/>
    <w:rsid w:val="002F6B57"/>
    <w:rsid w:val="00304D6E"/>
    <w:rsid w:val="0031071E"/>
    <w:rsid w:val="003144DD"/>
    <w:rsid w:val="00314C8B"/>
    <w:rsid w:val="003166BC"/>
    <w:rsid w:val="00317596"/>
    <w:rsid w:val="003228D3"/>
    <w:rsid w:val="003233B1"/>
    <w:rsid w:val="003261EE"/>
    <w:rsid w:val="00326A93"/>
    <w:rsid w:val="00326EA9"/>
    <w:rsid w:val="00330C78"/>
    <w:rsid w:val="00332645"/>
    <w:rsid w:val="00337BE0"/>
    <w:rsid w:val="003411EA"/>
    <w:rsid w:val="0034135F"/>
    <w:rsid w:val="0034170D"/>
    <w:rsid w:val="00343C28"/>
    <w:rsid w:val="00347D77"/>
    <w:rsid w:val="00352A1E"/>
    <w:rsid w:val="00353AD0"/>
    <w:rsid w:val="00354C96"/>
    <w:rsid w:val="003556EB"/>
    <w:rsid w:val="00360110"/>
    <w:rsid w:val="00361D63"/>
    <w:rsid w:val="00365809"/>
    <w:rsid w:val="00366961"/>
    <w:rsid w:val="00366E93"/>
    <w:rsid w:val="00367053"/>
    <w:rsid w:val="00367239"/>
    <w:rsid w:val="00367599"/>
    <w:rsid w:val="003702C4"/>
    <w:rsid w:val="00373142"/>
    <w:rsid w:val="003750B6"/>
    <w:rsid w:val="003754F3"/>
    <w:rsid w:val="00377440"/>
    <w:rsid w:val="0038119F"/>
    <w:rsid w:val="00381240"/>
    <w:rsid w:val="00382502"/>
    <w:rsid w:val="00383BAC"/>
    <w:rsid w:val="00385E03"/>
    <w:rsid w:val="00385F69"/>
    <w:rsid w:val="003948B3"/>
    <w:rsid w:val="00394A95"/>
    <w:rsid w:val="003952D7"/>
    <w:rsid w:val="00397BA3"/>
    <w:rsid w:val="003A1222"/>
    <w:rsid w:val="003B2136"/>
    <w:rsid w:val="003B2B32"/>
    <w:rsid w:val="003B2CFF"/>
    <w:rsid w:val="003B5E8C"/>
    <w:rsid w:val="003B63F5"/>
    <w:rsid w:val="003B75F0"/>
    <w:rsid w:val="003B7952"/>
    <w:rsid w:val="003C03CD"/>
    <w:rsid w:val="003C27DA"/>
    <w:rsid w:val="003D41A5"/>
    <w:rsid w:val="003E1B3F"/>
    <w:rsid w:val="003E5A71"/>
    <w:rsid w:val="003E749D"/>
    <w:rsid w:val="003F4023"/>
    <w:rsid w:val="003F6F10"/>
    <w:rsid w:val="00401AE1"/>
    <w:rsid w:val="00401C1D"/>
    <w:rsid w:val="00401CC8"/>
    <w:rsid w:val="00401F6A"/>
    <w:rsid w:val="00402633"/>
    <w:rsid w:val="004032E3"/>
    <w:rsid w:val="00403835"/>
    <w:rsid w:val="00404264"/>
    <w:rsid w:val="004069F1"/>
    <w:rsid w:val="00407002"/>
    <w:rsid w:val="004110E2"/>
    <w:rsid w:val="00415641"/>
    <w:rsid w:val="00416B48"/>
    <w:rsid w:val="00416F1A"/>
    <w:rsid w:val="0043066E"/>
    <w:rsid w:val="0043099C"/>
    <w:rsid w:val="0043164A"/>
    <w:rsid w:val="00432229"/>
    <w:rsid w:val="00432974"/>
    <w:rsid w:val="004337C8"/>
    <w:rsid w:val="00440575"/>
    <w:rsid w:val="004411EA"/>
    <w:rsid w:val="00451C8C"/>
    <w:rsid w:val="00457643"/>
    <w:rsid w:val="00464BA2"/>
    <w:rsid w:val="004657DD"/>
    <w:rsid w:val="0046677B"/>
    <w:rsid w:val="00467E82"/>
    <w:rsid w:val="00470E75"/>
    <w:rsid w:val="00473686"/>
    <w:rsid w:val="00474400"/>
    <w:rsid w:val="00476700"/>
    <w:rsid w:val="004801A4"/>
    <w:rsid w:val="00480883"/>
    <w:rsid w:val="004857D5"/>
    <w:rsid w:val="004873C5"/>
    <w:rsid w:val="00490C20"/>
    <w:rsid w:val="00494714"/>
    <w:rsid w:val="004A2834"/>
    <w:rsid w:val="004A2C42"/>
    <w:rsid w:val="004A4C46"/>
    <w:rsid w:val="004A5B07"/>
    <w:rsid w:val="004A7BFF"/>
    <w:rsid w:val="004B145B"/>
    <w:rsid w:val="004B449F"/>
    <w:rsid w:val="004C0997"/>
    <w:rsid w:val="004C107D"/>
    <w:rsid w:val="004C1D94"/>
    <w:rsid w:val="004C57CF"/>
    <w:rsid w:val="004C7595"/>
    <w:rsid w:val="004D02B8"/>
    <w:rsid w:val="004D2E5B"/>
    <w:rsid w:val="004D3429"/>
    <w:rsid w:val="004D3A21"/>
    <w:rsid w:val="004E02D3"/>
    <w:rsid w:val="004E2FE7"/>
    <w:rsid w:val="004F35A1"/>
    <w:rsid w:val="004F3E17"/>
    <w:rsid w:val="004F49FB"/>
    <w:rsid w:val="004F7DB1"/>
    <w:rsid w:val="004F7DDC"/>
    <w:rsid w:val="00500A6D"/>
    <w:rsid w:val="00501F69"/>
    <w:rsid w:val="0050573E"/>
    <w:rsid w:val="00514C7E"/>
    <w:rsid w:val="00515845"/>
    <w:rsid w:val="005224FA"/>
    <w:rsid w:val="0052288F"/>
    <w:rsid w:val="0054005C"/>
    <w:rsid w:val="00542FB4"/>
    <w:rsid w:val="0054379C"/>
    <w:rsid w:val="00545E40"/>
    <w:rsid w:val="005530C2"/>
    <w:rsid w:val="005600F6"/>
    <w:rsid w:val="005622FD"/>
    <w:rsid w:val="00562C92"/>
    <w:rsid w:val="0056419E"/>
    <w:rsid w:val="00567C3E"/>
    <w:rsid w:val="00571826"/>
    <w:rsid w:val="00572E55"/>
    <w:rsid w:val="005770A5"/>
    <w:rsid w:val="00580C26"/>
    <w:rsid w:val="00583E6E"/>
    <w:rsid w:val="00585A3D"/>
    <w:rsid w:val="0059070C"/>
    <w:rsid w:val="00592CE7"/>
    <w:rsid w:val="0059618B"/>
    <w:rsid w:val="00597F48"/>
    <w:rsid w:val="005A4992"/>
    <w:rsid w:val="005A5601"/>
    <w:rsid w:val="005A7A3E"/>
    <w:rsid w:val="005B781D"/>
    <w:rsid w:val="005C3180"/>
    <w:rsid w:val="005C5E67"/>
    <w:rsid w:val="005D451E"/>
    <w:rsid w:val="005D7228"/>
    <w:rsid w:val="005E3841"/>
    <w:rsid w:val="005E4948"/>
    <w:rsid w:val="005F7340"/>
    <w:rsid w:val="0060114F"/>
    <w:rsid w:val="0060274E"/>
    <w:rsid w:val="006048FD"/>
    <w:rsid w:val="00612BDB"/>
    <w:rsid w:val="00613E70"/>
    <w:rsid w:val="00617226"/>
    <w:rsid w:val="00620D34"/>
    <w:rsid w:val="00623878"/>
    <w:rsid w:val="0062397C"/>
    <w:rsid w:val="00626AF6"/>
    <w:rsid w:val="00632EAA"/>
    <w:rsid w:val="0063445B"/>
    <w:rsid w:val="006374F9"/>
    <w:rsid w:val="006420ED"/>
    <w:rsid w:val="00643293"/>
    <w:rsid w:val="00645868"/>
    <w:rsid w:val="00650C73"/>
    <w:rsid w:val="00654221"/>
    <w:rsid w:val="0066004C"/>
    <w:rsid w:val="006641B7"/>
    <w:rsid w:val="00670CF7"/>
    <w:rsid w:val="00675360"/>
    <w:rsid w:val="00676870"/>
    <w:rsid w:val="00682009"/>
    <w:rsid w:val="006832C0"/>
    <w:rsid w:val="006871A5"/>
    <w:rsid w:val="00690736"/>
    <w:rsid w:val="0069101B"/>
    <w:rsid w:val="00691E63"/>
    <w:rsid w:val="00694328"/>
    <w:rsid w:val="00695C02"/>
    <w:rsid w:val="00696B7C"/>
    <w:rsid w:val="006A0DD9"/>
    <w:rsid w:val="006A1753"/>
    <w:rsid w:val="006A43AF"/>
    <w:rsid w:val="006A74DA"/>
    <w:rsid w:val="006B0A0C"/>
    <w:rsid w:val="006B35CA"/>
    <w:rsid w:val="006B4A73"/>
    <w:rsid w:val="006B5DB2"/>
    <w:rsid w:val="006C0FF6"/>
    <w:rsid w:val="006C10F5"/>
    <w:rsid w:val="006C59E0"/>
    <w:rsid w:val="006C634F"/>
    <w:rsid w:val="006D6C35"/>
    <w:rsid w:val="006D7DCD"/>
    <w:rsid w:val="006E0AD0"/>
    <w:rsid w:val="006E1A3A"/>
    <w:rsid w:val="006E6472"/>
    <w:rsid w:val="006F4736"/>
    <w:rsid w:val="006F48CB"/>
    <w:rsid w:val="006F6A52"/>
    <w:rsid w:val="006F7044"/>
    <w:rsid w:val="00702A9F"/>
    <w:rsid w:val="00703DD8"/>
    <w:rsid w:val="007046BB"/>
    <w:rsid w:val="00704A64"/>
    <w:rsid w:val="00720A70"/>
    <w:rsid w:val="007236FA"/>
    <w:rsid w:val="00725CFC"/>
    <w:rsid w:val="00726F34"/>
    <w:rsid w:val="00727A2F"/>
    <w:rsid w:val="00732E1A"/>
    <w:rsid w:val="007357F8"/>
    <w:rsid w:val="0073620D"/>
    <w:rsid w:val="00736D43"/>
    <w:rsid w:val="007400C0"/>
    <w:rsid w:val="007447D8"/>
    <w:rsid w:val="00746A4F"/>
    <w:rsid w:val="007514B1"/>
    <w:rsid w:val="00754F13"/>
    <w:rsid w:val="0076073C"/>
    <w:rsid w:val="00762F69"/>
    <w:rsid w:val="00763578"/>
    <w:rsid w:val="00764E65"/>
    <w:rsid w:val="007658F2"/>
    <w:rsid w:val="00770199"/>
    <w:rsid w:val="0077185D"/>
    <w:rsid w:val="00775E44"/>
    <w:rsid w:val="00776C3E"/>
    <w:rsid w:val="007774E7"/>
    <w:rsid w:val="007801B9"/>
    <w:rsid w:val="00781543"/>
    <w:rsid w:val="00782DF8"/>
    <w:rsid w:val="007A54EF"/>
    <w:rsid w:val="007A5656"/>
    <w:rsid w:val="007B31F5"/>
    <w:rsid w:val="007B6865"/>
    <w:rsid w:val="007C14A5"/>
    <w:rsid w:val="007C5980"/>
    <w:rsid w:val="007D3A98"/>
    <w:rsid w:val="007D4DA3"/>
    <w:rsid w:val="007D538A"/>
    <w:rsid w:val="007E0829"/>
    <w:rsid w:val="007E3F85"/>
    <w:rsid w:val="007E4A2B"/>
    <w:rsid w:val="007F11FB"/>
    <w:rsid w:val="007F215B"/>
    <w:rsid w:val="007F5372"/>
    <w:rsid w:val="00804BD3"/>
    <w:rsid w:val="00805F6D"/>
    <w:rsid w:val="00810D8C"/>
    <w:rsid w:val="00811CF5"/>
    <w:rsid w:val="0081223A"/>
    <w:rsid w:val="0081521A"/>
    <w:rsid w:val="00817780"/>
    <w:rsid w:val="008213B0"/>
    <w:rsid w:val="00821443"/>
    <w:rsid w:val="008251B9"/>
    <w:rsid w:val="008269BA"/>
    <w:rsid w:val="00830431"/>
    <w:rsid w:val="00831471"/>
    <w:rsid w:val="00840B16"/>
    <w:rsid w:val="00841983"/>
    <w:rsid w:val="00841EF7"/>
    <w:rsid w:val="008431B4"/>
    <w:rsid w:val="00843BA0"/>
    <w:rsid w:val="008451F2"/>
    <w:rsid w:val="00852F7E"/>
    <w:rsid w:val="0085485A"/>
    <w:rsid w:val="00854929"/>
    <w:rsid w:val="00855054"/>
    <w:rsid w:val="00860835"/>
    <w:rsid w:val="00862246"/>
    <w:rsid w:val="008631EB"/>
    <w:rsid w:val="00871790"/>
    <w:rsid w:val="00875D08"/>
    <w:rsid w:val="008761B9"/>
    <w:rsid w:val="008769DF"/>
    <w:rsid w:val="00883554"/>
    <w:rsid w:val="00883760"/>
    <w:rsid w:val="00892275"/>
    <w:rsid w:val="00893DED"/>
    <w:rsid w:val="00894BE9"/>
    <w:rsid w:val="00894DA5"/>
    <w:rsid w:val="00897DD4"/>
    <w:rsid w:val="008A14C3"/>
    <w:rsid w:val="008A2B2F"/>
    <w:rsid w:val="008A3DE3"/>
    <w:rsid w:val="008A4E31"/>
    <w:rsid w:val="008A7F8B"/>
    <w:rsid w:val="008B7591"/>
    <w:rsid w:val="008C46FE"/>
    <w:rsid w:val="008C6E2B"/>
    <w:rsid w:val="008D0E1C"/>
    <w:rsid w:val="008D490D"/>
    <w:rsid w:val="008E220D"/>
    <w:rsid w:val="008F1539"/>
    <w:rsid w:val="008F40E5"/>
    <w:rsid w:val="00900B05"/>
    <w:rsid w:val="009029F1"/>
    <w:rsid w:val="009049D6"/>
    <w:rsid w:val="009079FA"/>
    <w:rsid w:val="00911680"/>
    <w:rsid w:val="00912E53"/>
    <w:rsid w:val="009141EC"/>
    <w:rsid w:val="00917964"/>
    <w:rsid w:val="0092725C"/>
    <w:rsid w:val="00930CE7"/>
    <w:rsid w:val="00932B93"/>
    <w:rsid w:val="009341A8"/>
    <w:rsid w:val="00934473"/>
    <w:rsid w:val="00935C01"/>
    <w:rsid w:val="009372C2"/>
    <w:rsid w:val="0093766C"/>
    <w:rsid w:val="00942E0E"/>
    <w:rsid w:val="009435E0"/>
    <w:rsid w:val="00947D9D"/>
    <w:rsid w:val="0095687C"/>
    <w:rsid w:val="00957245"/>
    <w:rsid w:val="0096003D"/>
    <w:rsid w:val="009601F4"/>
    <w:rsid w:val="00970A24"/>
    <w:rsid w:val="0097505A"/>
    <w:rsid w:val="009751B4"/>
    <w:rsid w:val="009779FA"/>
    <w:rsid w:val="009925DF"/>
    <w:rsid w:val="00992B49"/>
    <w:rsid w:val="00996367"/>
    <w:rsid w:val="009B0E08"/>
    <w:rsid w:val="009B2E21"/>
    <w:rsid w:val="009B4D2D"/>
    <w:rsid w:val="009B7D86"/>
    <w:rsid w:val="009C2A7C"/>
    <w:rsid w:val="009C45D1"/>
    <w:rsid w:val="009C73A1"/>
    <w:rsid w:val="009D01D8"/>
    <w:rsid w:val="009D0B41"/>
    <w:rsid w:val="009D123B"/>
    <w:rsid w:val="009D6F55"/>
    <w:rsid w:val="009E22DE"/>
    <w:rsid w:val="009F1AF9"/>
    <w:rsid w:val="009F220A"/>
    <w:rsid w:val="009F62C1"/>
    <w:rsid w:val="009F7FD0"/>
    <w:rsid w:val="00A00B42"/>
    <w:rsid w:val="00A027F6"/>
    <w:rsid w:val="00A04A6C"/>
    <w:rsid w:val="00A0762B"/>
    <w:rsid w:val="00A15D2E"/>
    <w:rsid w:val="00A215DB"/>
    <w:rsid w:val="00A22906"/>
    <w:rsid w:val="00A2391D"/>
    <w:rsid w:val="00A25FDD"/>
    <w:rsid w:val="00A2655E"/>
    <w:rsid w:val="00A27403"/>
    <w:rsid w:val="00A27D70"/>
    <w:rsid w:val="00A308B4"/>
    <w:rsid w:val="00A30EF5"/>
    <w:rsid w:val="00A31477"/>
    <w:rsid w:val="00A3197D"/>
    <w:rsid w:val="00A34C8C"/>
    <w:rsid w:val="00A35622"/>
    <w:rsid w:val="00A36E33"/>
    <w:rsid w:val="00A3772E"/>
    <w:rsid w:val="00A40891"/>
    <w:rsid w:val="00A409F1"/>
    <w:rsid w:val="00A44ABB"/>
    <w:rsid w:val="00A472AD"/>
    <w:rsid w:val="00A53FF3"/>
    <w:rsid w:val="00A6071B"/>
    <w:rsid w:val="00A636A6"/>
    <w:rsid w:val="00A64B0D"/>
    <w:rsid w:val="00A665E7"/>
    <w:rsid w:val="00A73D56"/>
    <w:rsid w:val="00A741BF"/>
    <w:rsid w:val="00A77E98"/>
    <w:rsid w:val="00A800B4"/>
    <w:rsid w:val="00A801C3"/>
    <w:rsid w:val="00A82504"/>
    <w:rsid w:val="00A84247"/>
    <w:rsid w:val="00A87371"/>
    <w:rsid w:val="00A87A14"/>
    <w:rsid w:val="00A901AB"/>
    <w:rsid w:val="00A902E0"/>
    <w:rsid w:val="00A9308D"/>
    <w:rsid w:val="00AA00F5"/>
    <w:rsid w:val="00AA28DD"/>
    <w:rsid w:val="00AA580A"/>
    <w:rsid w:val="00AA5C6E"/>
    <w:rsid w:val="00AA7942"/>
    <w:rsid w:val="00AB09C6"/>
    <w:rsid w:val="00AB20FB"/>
    <w:rsid w:val="00AB7793"/>
    <w:rsid w:val="00AB7D94"/>
    <w:rsid w:val="00AC18B9"/>
    <w:rsid w:val="00AC2628"/>
    <w:rsid w:val="00AC4E3C"/>
    <w:rsid w:val="00AC5952"/>
    <w:rsid w:val="00AC5E45"/>
    <w:rsid w:val="00AD3EC0"/>
    <w:rsid w:val="00AD7F6F"/>
    <w:rsid w:val="00AE3237"/>
    <w:rsid w:val="00AE3A93"/>
    <w:rsid w:val="00AE44FC"/>
    <w:rsid w:val="00AF02FB"/>
    <w:rsid w:val="00AF41BB"/>
    <w:rsid w:val="00AF42D3"/>
    <w:rsid w:val="00AF4A78"/>
    <w:rsid w:val="00AF6373"/>
    <w:rsid w:val="00AF7935"/>
    <w:rsid w:val="00AF7F1E"/>
    <w:rsid w:val="00B0012C"/>
    <w:rsid w:val="00B018B5"/>
    <w:rsid w:val="00B03AED"/>
    <w:rsid w:val="00B06C8C"/>
    <w:rsid w:val="00B10C67"/>
    <w:rsid w:val="00B215B0"/>
    <w:rsid w:val="00B22088"/>
    <w:rsid w:val="00B23041"/>
    <w:rsid w:val="00B23A4D"/>
    <w:rsid w:val="00B23C18"/>
    <w:rsid w:val="00B30D14"/>
    <w:rsid w:val="00B35114"/>
    <w:rsid w:val="00B35DBD"/>
    <w:rsid w:val="00B4102E"/>
    <w:rsid w:val="00B41142"/>
    <w:rsid w:val="00B422AB"/>
    <w:rsid w:val="00B4277F"/>
    <w:rsid w:val="00B45EC1"/>
    <w:rsid w:val="00B5084B"/>
    <w:rsid w:val="00B52897"/>
    <w:rsid w:val="00B5410C"/>
    <w:rsid w:val="00B5482E"/>
    <w:rsid w:val="00B5721D"/>
    <w:rsid w:val="00B6489E"/>
    <w:rsid w:val="00B65AF1"/>
    <w:rsid w:val="00B65EBF"/>
    <w:rsid w:val="00B67C22"/>
    <w:rsid w:val="00B7197D"/>
    <w:rsid w:val="00B71F16"/>
    <w:rsid w:val="00B731A7"/>
    <w:rsid w:val="00B74B95"/>
    <w:rsid w:val="00B81C31"/>
    <w:rsid w:val="00B82610"/>
    <w:rsid w:val="00B83D1C"/>
    <w:rsid w:val="00B83DFB"/>
    <w:rsid w:val="00B87258"/>
    <w:rsid w:val="00BA1E3D"/>
    <w:rsid w:val="00BA1F23"/>
    <w:rsid w:val="00BA40A9"/>
    <w:rsid w:val="00BA5214"/>
    <w:rsid w:val="00BA61B1"/>
    <w:rsid w:val="00BA7B81"/>
    <w:rsid w:val="00BB3A2F"/>
    <w:rsid w:val="00BB42CC"/>
    <w:rsid w:val="00BB4D8C"/>
    <w:rsid w:val="00BB553F"/>
    <w:rsid w:val="00BC6555"/>
    <w:rsid w:val="00BC73E5"/>
    <w:rsid w:val="00BD2F6E"/>
    <w:rsid w:val="00BD3A17"/>
    <w:rsid w:val="00BD512A"/>
    <w:rsid w:val="00BD620D"/>
    <w:rsid w:val="00BE1712"/>
    <w:rsid w:val="00BE257A"/>
    <w:rsid w:val="00BE3DB5"/>
    <w:rsid w:val="00BE6BD9"/>
    <w:rsid w:val="00BE7C61"/>
    <w:rsid w:val="00BF28CE"/>
    <w:rsid w:val="00BF5C20"/>
    <w:rsid w:val="00C014A3"/>
    <w:rsid w:val="00C0184E"/>
    <w:rsid w:val="00C12A71"/>
    <w:rsid w:val="00C17FD4"/>
    <w:rsid w:val="00C2005B"/>
    <w:rsid w:val="00C21C25"/>
    <w:rsid w:val="00C23D35"/>
    <w:rsid w:val="00C240BD"/>
    <w:rsid w:val="00C26531"/>
    <w:rsid w:val="00C35146"/>
    <w:rsid w:val="00C43239"/>
    <w:rsid w:val="00C53106"/>
    <w:rsid w:val="00C5412E"/>
    <w:rsid w:val="00C5448E"/>
    <w:rsid w:val="00C54F8B"/>
    <w:rsid w:val="00C606D4"/>
    <w:rsid w:val="00C620BE"/>
    <w:rsid w:val="00C624EF"/>
    <w:rsid w:val="00C65DC9"/>
    <w:rsid w:val="00C70863"/>
    <w:rsid w:val="00C7405E"/>
    <w:rsid w:val="00C76EFA"/>
    <w:rsid w:val="00C80D99"/>
    <w:rsid w:val="00C8169C"/>
    <w:rsid w:val="00C8255E"/>
    <w:rsid w:val="00C82F97"/>
    <w:rsid w:val="00C85349"/>
    <w:rsid w:val="00C856C1"/>
    <w:rsid w:val="00C86F3C"/>
    <w:rsid w:val="00C87891"/>
    <w:rsid w:val="00C91DC4"/>
    <w:rsid w:val="00C92A3F"/>
    <w:rsid w:val="00C955D5"/>
    <w:rsid w:val="00CA3A8D"/>
    <w:rsid w:val="00CB45A3"/>
    <w:rsid w:val="00CB4854"/>
    <w:rsid w:val="00CB5FE1"/>
    <w:rsid w:val="00CB6C73"/>
    <w:rsid w:val="00CB7366"/>
    <w:rsid w:val="00CC3773"/>
    <w:rsid w:val="00CC585B"/>
    <w:rsid w:val="00CD06AD"/>
    <w:rsid w:val="00CD2141"/>
    <w:rsid w:val="00CD3972"/>
    <w:rsid w:val="00CD4D97"/>
    <w:rsid w:val="00CD6EBA"/>
    <w:rsid w:val="00CE068E"/>
    <w:rsid w:val="00CE778C"/>
    <w:rsid w:val="00CF3144"/>
    <w:rsid w:val="00CF4284"/>
    <w:rsid w:val="00CF5C74"/>
    <w:rsid w:val="00CF61F0"/>
    <w:rsid w:val="00CF7FF8"/>
    <w:rsid w:val="00D06ADB"/>
    <w:rsid w:val="00D07DCB"/>
    <w:rsid w:val="00D13526"/>
    <w:rsid w:val="00D15C83"/>
    <w:rsid w:val="00D17E01"/>
    <w:rsid w:val="00D24188"/>
    <w:rsid w:val="00D2583B"/>
    <w:rsid w:val="00D2679F"/>
    <w:rsid w:val="00D27672"/>
    <w:rsid w:val="00D30F7E"/>
    <w:rsid w:val="00D3102B"/>
    <w:rsid w:val="00D31DF7"/>
    <w:rsid w:val="00D32D69"/>
    <w:rsid w:val="00D37A42"/>
    <w:rsid w:val="00D40055"/>
    <w:rsid w:val="00D43DAB"/>
    <w:rsid w:val="00D4418E"/>
    <w:rsid w:val="00D452F3"/>
    <w:rsid w:val="00D458DE"/>
    <w:rsid w:val="00D52828"/>
    <w:rsid w:val="00D53491"/>
    <w:rsid w:val="00D53649"/>
    <w:rsid w:val="00D5530C"/>
    <w:rsid w:val="00D5598E"/>
    <w:rsid w:val="00D5702B"/>
    <w:rsid w:val="00D608AD"/>
    <w:rsid w:val="00D67E50"/>
    <w:rsid w:val="00D709E7"/>
    <w:rsid w:val="00D724BF"/>
    <w:rsid w:val="00D756C6"/>
    <w:rsid w:val="00D77DF4"/>
    <w:rsid w:val="00D8157E"/>
    <w:rsid w:val="00D82307"/>
    <w:rsid w:val="00D86FC3"/>
    <w:rsid w:val="00D90986"/>
    <w:rsid w:val="00D91B67"/>
    <w:rsid w:val="00D94E4A"/>
    <w:rsid w:val="00D9653B"/>
    <w:rsid w:val="00D97169"/>
    <w:rsid w:val="00DA05A1"/>
    <w:rsid w:val="00DA07F1"/>
    <w:rsid w:val="00DA29A7"/>
    <w:rsid w:val="00DA403B"/>
    <w:rsid w:val="00DA61C8"/>
    <w:rsid w:val="00DA6C8B"/>
    <w:rsid w:val="00DB12A7"/>
    <w:rsid w:val="00DB248E"/>
    <w:rsid w:val="00DB438C"/>
    <w:rsid w:val="00DC295E"/>
    <w:rsid w:val="00DC3AA6"/>
    <w:rsid w:val="00DC3BB3"/>
    <w:rsid w:val="00DC6E5A"/>
    <w:rsid w:val="00DD26C3"/>
    <w:rsid w:val="00DD404E"/>
    <w:rsid w:val="00DD5A19"/>
    <w:rsid w:val="00DE63AD"/>
    <w:rsid w:val="00DE7494"/>
    <w:rsid w:val="00DF4937"/>
    <w:rsid w:val="00E01395"/>
    <w:rsid w:val="00E0208C"/>
    <w:rsid w:val="00E044F2"/>
    <w:rsid w:val="00E07347"/>
    <w:rsid w:val="00E11B6D"/>
    <w:rsid w:val="00E16C54"/>
    <w:rsid w:val="00E2226C"/>
    <w:rsid w:val="00E22DFF"/>
    <w:rsid w:val="00E249A2"/>
    <w:rsid w:val="00E34CDA"/>
    <w:rsid w:val="00E357EC"/>
    <w:rsid w:val="00E376A8"/>
    <w:rsid w:val="00E37CD3"/>
    <w:rsid w:val="00E43B0C"/>
    <w:rsid w:val="00E44FD6"/>
    <w:rsid w:val="00E47D77"/>
    <w:rsid w:val="00E5023D"/>
    <w:rsid w:val="00E5074A"/>
    <w:rsid w:val="00E51CC2"/>
    <w:rsid w:val="00E52F35"/>
    <w:rsid w:val="00E53824"/>
    <w:rsid w:val="00E60B59"/>
    <w:rsid w:val="00E6336C"/>
    <w:rsid w:val="00E65B93"/>
    <w:rsid w:val="00E73BC8"/>
    <w:rsid w:val="00E743CB"/>
    <w:rsid w:val="00E74773"/>
    <w:rsid w:val="00E75757"/>
    <w:rsid w:val="00E803BA"/>
    <w:rsid w:val="00E810A2"/>
    <w:rsid w:val="00E84B13"/>
    <w:rsid w:val="00E866B7"/>
    <w:rsid w:val="00E972B0"/>
    <w:rsid w:val="00EB0F5A"/>
    <w:rsid w:val="00EB29D8"/>
    <w:rsid w:val="00EB3109"/>
    <w:rsid w:val="00EB61B6"/>
    <w:rsid w:val="00EC0AF5"/>
    <w:rsid w:val="00EC49FD"/>
    <w:rsid w:val="00EC4EBF"/>
    <w:rsid w:val="00EC6109"/>
    <w:rsid w:val="00ED0482"/>
    <w:rsid w:val="00ED185D"/>
    <w:rsid w:val="00EE13D1"/>
    <w:rsid w:val="00EE3F61"/>
    <w:rsid w:val="00EE71A6"/>
    <w:rsid w:val="00EE7FC9"/>
    <w:rsid w:val="00F05CD8"/>
    <w:rsid w:val="00F136E1"/>
    <w:rsid w:val="00F139AF"/>
    <w:rsid w:val="00F16B6C"/>
    <w:rsid w:val="00F20AEE"/>
    <w:rsid w:val="00F20FBF"/>
    <w:rsid w:val="00F21A60"/>
    <w:rsid w:val="00F26242"/>
    <w:rsid w:val="00F26BC3"/>
    <w:rsid w:val="00F27321"/>
    <w:rsid w:val="00F400DC"/>
    <w:rsid w:val="00F40918"/>
    <w:rsid w:val="00F40F4B"/>
    <w:rsid w:val="00F4699E"/>
    <w:rsid w:val="00F52598"/>
    <w:rsid w:val="00F533C7"/>
    <w:rsid w:val="00F5391F"/>
    <w:rsid w:val="00F5748E"/>
    <w:rsid w:val="00F61A1D"/>
    <w:rsid w:val="00F62AA8"/>
    <w:rsid w:val="00F63322"/>
    <w:rsid w:val="00F72829"/>
    <w:rsid w:val="00F74739"/>
    <w:rsid w:val="00F7511F"/>
    <w:rsid w:val="00F7571C"/>
    <w:rsid w:val="00F758DE"/>
    <w:rsid w:val="00F7692C"/>
    <w:rsid w:val="00F77222"/>
    <w:rsid w:val="00F8107B"/>
    <w:rsid w:val="00F82484"/>
    <w:rsid w:val="00F846A0"/>
    <w:rsid w:val="00F930B8"/>
    <w:rsid w:val="00F944A1"/>
    <w:rsid w:val="00F950A8"/>
    <w:rsid w:val="00F9531A"/>
    <w:rsid w:val="00FA2131"/>
    <w:rsid w:val="00FA3742"/>
    <w:rsid w:val="00FA40A9"/>
    <w:rsid w:val="00FA5CAD"/>
    <w:rsid w:val="00FA6DF2"/>
    <w:rsid w:val="00FB2728"/>
    <w:rsid w:val="00FB5FC1"/>
    <w:rsid w:val="00FB69C9"/>
    <w:rsid w:val="00FC088B"/>
    <w:rsid w:val="00FC2714"/>
    <w:rsid w:val="00FD100B"/>
    <w:rsid w:val="00FD367A"/>
    <w:rsid w:val="00FD5E11"/>
    <w:rsid w:val="00FE1EB2"/>
    <w:rsid w:val="00FE30E6"/>
    <w:rsid w:val="00FE4A7A"/>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40E448D3"/>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FBE28-8F88-4710-9605-F36BB7A72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2804</TotalTime>
  <Pages>12</Pages>
  <Words>1564</Words>
  <Characters>8608</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707</cp:revision>
  <cp:lastPrinted>2018-03-12T09:18:00Z</cp:lastPrinted>
  <dcterms:created xsi:type="dcterms:W3CDTF">2018-02-02T13:49:00Z</dcterms:created>
  <dcterms:modified xsi:type="dcterms:W3CDTF">2018-06-25T09:28:00Z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jean-luc.attal@ostrum.com</vt:lpwstr>
  </property>
  <property fmtid="{D5CDD505-2E9C-101B-9397-08002B2CF9AE}" pid="6" name="MSIP_Label_797e4f81-4b1c-4a3a-b237-8636707719dc_SetDate">
    <vt:lpwstr>2018-04-06T11:47:54.1052964+02:00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