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8668F5">
        <w:rPr>
          <w:rFonts w:ascii="Calibri Light" w:hAnsi="Calibri Light" w:cs="Arial"/>
          <w:b/>
          <w:sz w:val="44"/>
          <w:szCs w:val="44"/>
        </w:rPr>
        <w:t>02</w:t>
      </w:r>
      <w:r w:rsidR="00FD5E11">
        <w:rPr>
          <w:rFonts w:ascii="Calibri Light" w:hAnsi="Calibri Light" w:cs="Arial"/>
          <w:b/>
          <w:sz w:val="44"/>
          <w:szCs w:val="44"/>
        </w:rPr>
        <w:t xml:space="preserve"> </w:t>
      </w:r>
      <w:r w:rsidR="00196168">
        <w:rPr>
          <w:rFonts w:ascii="Calibri Light" w:hAnsi="Calibri Light" w:cs="Arial"/>
          <w:b/>
          <w:sz w:val="44"/>
          <w:szCs w:val="44"/>
        </w:rPr>
        <w:t>jui</w:t>
      </w:r>
      <w:r w:rsidR="008668F5">
        <w:rPr>
          <w:rFonts w:ascii="Calibri Light" w:hAnsi="Calibri Light" w:cs="Arial"/>
          <w:b/>
          <w:sz w:val="44"/>
          <w:szCs w:val="44"/>
        </w:rPr>
        <w:t>llet</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Default="00343C28" w:rsidP="00F72829">
      <w:pPr>
        <w:jc w:val="both"/>
        <w:rPr>
          <w:rFonts w:ascii="Arial" w:hAnsi="Arial" w:cs="Arial"/>
          <w:b/>
          <w:sz w:val="22"/>
          <w:szCs w:val="22"/>
        </w:rPr>
      </w:pPr>
    </w:p>
    <w:p w:rsidR="00FB5FC1" w:rsidRPr="00800AB1" w:rsidRDefault="00FB5FC1" w:rsidP="00F72829">
      <w:pPr>
        <w:jc w:val="both"/>
        <w:rPr>
          <w:rFonts w:ascii="Arial" w:hAnsi="Arial" w:cs="Arial"/>
          <w:b/>
          <w:sz w:val="22"/>
          <w:szCs w:val="22"/>
        </w:rPr>
      </w:pPr>
    </w:p>
    <w:p w:rsidR="00F72829" w:rsidRPr="005F56ED"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F56ED">
        <w:rPr>
          <w:rFonts w:ascii="Arial" w:hAnsi="Arial" w:cs="Arial"/>
          <w:b/>
          <w:sz w:val="36"/>
          <w:szCs w:val="36"/>
          <w:u w:val="single"/>
        </w:rPr>
        <w:t xml:space="preserve">10 ans Euro </w:t>
      </w:r>
    </w:p>
    <w:p w:rsidR="000D4E0C" w:rsidRPr="005F56ED" w:rsidRDefault="000D4E0C" w:rsidP="000D4E0C">
      <w:pPr>
        <w:autoSpaceDE w:val="0"/>
        <w:jc w:val="both"/>
        <w:rPr>
          <w:rFonts w:ascii="Arial" w:hAnsi="Arial" w:cs="Arial"/>
          <w:b/>
          <w:sz w:val="28"/>
          <w:szCs w:val="28"/>
          <w:u w:val="single"/>
        </w:rPr>
      </w:pPr>
      <w:r w:rsidRPr="005F56ED">
        <w:rPr>
          <w:rFonts w:ascii="Arial" w:hAnsi="Arial" w:cs="Arial"/>
          <w:b/>
          <w:sz w:val="28"/>
          <w:szCs w:val="28"/>
          <w:u w:val="single"/>
        </w:rPr>
        <w:t>Monthly</w:t>
      </w:r>
    </w:p>
    <w:p w:rsidR="00F72829" w:rsidRPr="00C97875" w:rsidRDefault="00C97875" w:rsidP="00B65AF1">
      <w:pPr>
        <w:autoSpaceDE w:val="0"/>
        <w:ind w:left="-283"/>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644553" cy="4000500"/>
            <wp:effectExtent l="0" t="0" r="4445" b="0"/>
            <wp:docPr id="5" name="Image 5" descr="C:\Temp\Bloomberg\temp\bfm66A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66AF.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4125" cy="4006263"/>
                    </a:xfrm>
                    <a:prstGeom prst="rect">
                      <a:avLst/>
                    </a:prstGeom>
                    <a:noFill/>
                    <a:ln>
                      <a:noFill/>
                    </a:ln>
                  </pic:spPr>
                </pic:pic>
              </a:graphicData>
            </a:graphic>
          </wp:inline>
        </w:drawing>
      </w:r>
    </w:p>
    <w:p w:rsidR="00F72829" w:rsidRPr="00C97875" w:rsidRDefault="00F72829" w:rsidP="00F72829">
      <w:pPr>
        <w:autoSpaceDE w:val="0"/>
        <w:jc w:val="both"/>
        <w:rPr>
          <w:rFonts w:ascii="Arial" w:hAnsi="Arial" w:cs="Arial"/>
          <w:b/>
          <w:sz w:val="28"/>
          <w:szCs w:val="28"/>
          <w:u w:val="single"/>
          <w:lang w:val="en-US"/>
        </w:rPr>
      </w:pPr>
      <w:r w:rsidRPr="00C97875">
        <w:rPr>
          <w:rFonts w:ascii="Arial" w:hAnsi="Arial" w:cs="Arial"/>
          <w:b/>
          <w:sz w:val="28"/>
          <w:szCs w:val="28"/>
          <w:u w:val="single"/>
          <w:lang w:val="en-US"/>
        </w:rPr>
        <w:t>Weekly</w:t>
      </w:r>
    </w:p>
    <w:p w:rsidR="000D4E0C" w:rsidRPr="00C97875" w:rsidRDefault="00C97875" w:rsidP="00B23A4D">
      <w:pPr>
        <w:autoSpaceDE w:val="0"/>
        <w:ind w:left="-283"/>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644926" cy="4517572"/>
            <wp:effectExtent l="0" t="0" r="3810" b="0"/>
            <wp:docPr id="6" name="Image 6" descr="C:\Temp\Bloomberg\temp\bfmD1B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D1B3.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1064" cy="4521745"/>
                    </a:xfrm>
                    <a:prstGeom prst="rect">
                      <a:avLst/>
                    </a:prstGeom>
                    <a:noFill/>
                    <a:ln>
                      <a:noFill/>
                    </a:ln>
                  </pic:spPr>
                </pic:pic>
              </a:graphicData>
            </a:graphic>
          </wp:inline>
        </w:drawing>
      </w:r>
    </w:p>
    <w:p w:rsidR="000D4E0C" w:rsidRPr="00C97875" w:rsidRDefault="005E3841" w:rsidP="00B65AF1">
      <w:pPr>
        <w:autoSpaceDE w:val="0"/>
        <w:ind w:left="-851"/>
        <w:jc w:val="both"/>
        <w:rPr>
          <w:rFonts w:ascii="Arial" w:hAnsi="Arial" w:cs="Arial"/>
          <w:b/>
          <w:sz w:val="28"/>
          <w:szCs w:val="28"/>
          <w:u w:val="single"/>
          <w:lang w:val="en-US"/>
        </w:rPr>
      </w:pPr>
      <w:r w:rsidRPr="00C97875">
        <w:rPr>
          <w:rFonts w:ascii="Arial" w:hAnsi="Arial" w:cs="Arial"/>
          <w:b/>
          <w:sz w:val="28"/>
          <w:szCs w:val="28"/>
          <w:lang w:val="en-US"/>
        </w:rPr>
        <w:lastRenderedPageBreak/>
        <w:t xml:space="preserve">           </w:t>
      </w:r>
      <w:r w:rsidR="000D4E0C" w:rsidRPr="00C97875">
        <w:rPr>
          <w:rFonts w:ascii="Arial" w:hAnsi="Arial" w:cs="Arial"/>
          <w:b/>
          <w:sz w:val="28"/>
          <w:szCs w:val="28"/>
          <w:u w:val="single"/>
          <w:lang w:val="en-US"/>
        </w:rPr>
        <w:t>Daily</w:t>
      </w:r>
    </w:p>
    <w:p w:rsidR="00AC18B9" w:rsidRPr="00C97875" w:rsidRDefault="00C97875" w:rsidP="00050AE9">
      <w:pPr>
        <w:autoSpaceDE w:val="0"/>
        <w:ind w:left="-283"/>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640499" cy="3739242"/>
            <wp:effectExtent l="0" t="0" r="8255" b="0"/>
            <wp:docPr id="7" name="Image 7" descr="C:\Temp\Bloomberg\temp\bfm202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202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71118" cy="3756484"/>
                    </a:xfrm>
                    <a:prstGeom prst="rect">
                      <a:avLst/>
                    </a:prstGeom>
                    <a:noFill/>
                    <a:ln>
                      <a:noFill/>
                    </a:ln>
                  </pic:spPr>
                </pic:pic>
              </a:graphicData>
            </a:graphic>
          </wp:inline>
        </w:drawing>
      </w:r>
    </w:p>
    <w:p w:rsidR="009B17F3" w:rsidRPr="00C97875" w:rsidRDefault="009B17F3" w:rsidP="00C97875">
      <w:pPr>
        <w:autoSpaceDE w:val="0"/>
        <w:jc w:val="both"/>
        <w:rPr>
          <w:rFonts w:ascii="Arial" w:hAnsi="Arial" w:cs="Arial"/>
          <w:b/>
          <w:sz w:val="28"/>
          <w:szCs w:val="28"/>
          <w:u w:val="single"/>
          <w:lang w:val="en-US"/>
        </w:rPr>
      </w:pPr>
    </w:p>
    <w:p w:rsidR="00DA4CE6" w:rsidRDefault="00F72829" w:rsidP="00D67E50">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sidRPr="00B35114">
        <w:rPr>
          <w:rFonts w:ascii="Tahoma" w:hAnsi="Tahoma" w:cs="Tahoma"/>
        </w:rPr>
        <w:t xml:space="preserve">Le </w:t>
      </w:r>
      <w:r w:rsidR="00226C24">
        <w:rPr>
          <w:rFonts w:ascii="Tahoma" w:hAnsi="Tahoma" w:cs="Tahoma"/>
        </w:rPr>
        <w:t>nuage sert de résistance. La SSA se situ</w:t>
      </w:r>
      <w:r w:rsidR="00DA4CE6">
        <w:rPr>
          <w:rFonts w:ascii="Tahoma" w:hAnsi="Tahoma" w:cs="Tahoma"/>
        </w:rPr>
        <w:t>ait en juin</w:t>
      </w:r>
      <w:r w:rsidR="00226C24">
        <w:rPr>
          <w:rFonts w:ascii="Tahoma" w:hAnsi="Tahoma" w:cs="Tahoma"/>
        </w:rPr>
        <w:t xml:space="preserve"> sur </w:t>
      </w:r>
      <w:r w:rsidR="006B5DB2">
        <w:rPr>
          <w:rFonts w:ascii="Tahoma" w:hAnsi="Tahoma" w:cs="Tahoma"/>
        </w:rPr>
        <w:t>0.65.</w:t>
      </w:r>
      <w:r w:rsidR="00DA4CE6">
        <w:rPr>
          <w:rFonts w:ascii="Tahoma" w:hAnsi="Tahoma" w:cs="Tahoma"/>
        </w:rPr>
        <w:t xml:space="preserve"> Elle vient de passer sur 0.48. Une conviction baissière forte impliquera un maintien du 10</w:t>
      </w:r>
      <w:r w:rsidR="00394D84">
        <w:rPr>
          <w:rFonts w:ascii="Tahoma" w:hAnsi="Tahoma" w:cs="Tahoma"/>
        </w:rPr>
        <w:t xml:space="preserve"> ans Euro sous cette résistance. </w:t>
      </w:r>
      <w:r w:rsidR="00DA4CE6">
        <w:rPr>
          <w:rFonts w:ascii="Tahoma" w:hAnsi="Tahoma" w:cs="Tahoma"/>
        </w:rPr>
        <w:t>La SSA sera renforcée par un plat de TS sur le même niveau. Cette corresp</w:t>
      </w:r>
      <w:r w:rsidR="000A2FB6">
        <w:rPr>
          <w:rFonts w:ascii="Tahoma" w:hAnsi="Tahoma" w:cs="Tahoma"/>
        </w:rPr>
        <w:t>o</w:t>
      </w:r>
      <w:r w:rsidR="00DA4CE6">
        <w:rPr>
          <w:rFonts w:ascii="Tahoma" w:hAnsi="Tahoma" w:cs="Tahoma"/>
        </w:rPr>
        <w:t xml:space="preserve">ndance renforce </w:t>
      </w:r>
      <w:r w:rsidR="00394D84">
        <w:rPr>
          <w:rFonts w:ascii="Tahoma" w:hAnsi="Tahoma" w:cs="Tahoma"/>
        </w:rPr>
        <w:t>le point de 0.48</w:t>
      </w:r>
      <w:r w:rsidR="000A2FB6">
        <w:rPr>
          <w:rFonts w:ascii="Tahoma" w:hAnsi="Tahoma" w:cs="Tahoma"/>
        </w:rPr>
        <w:t>. Son dépassement signalera un changement de comportement des investisseurs et redonnera du potentiel au scénario de hausse du taux.</w:t>
      </w:r>
    </w:p>
    <w:p w:rsidR="006B5DB2" w:rsidRDefault="006B5DB2" w:rsidP="00D67E50">
      <w:pPr>
        <w:jc w:val="both"/>
        <w:rPr>
          <w:rFonts w:ascii="Tahoma" w:hAnsi="Tahoma" w:cs="Tahoma"/>
        </w:rPr>
      </w:pPr>
      <w:r>
        <w:rPr>
          <w:rFonts w:ascii="Tahoma" w:hAnsi="Tahoma" w:cs="Tahoma"/>
        </w:rPr>
        <w:t xml:space="preserve">TS et KS sont plates. Elles indiquent que le marché </w:t>
      </w:r>
      <w:r w:rsidR="00BF5C20">
        <w:rPr>
          <w:rFonts w:ascii="Tahoma" w:hAnsi="Tahoma" w:cs="Tahoma"/>
        </w:rPr>
        <w:t xml:space="preserve">n’est pas en tendance. Elles avantagent la consolidation. La cassure de la TS milite pour un retour sur la KS. </w:t>
      </w:r>
      <w:r w:rsidR="000A2FB6">
        <w:rPr>
          <w:rFonts w:ascii="Tahoma" w:hAnsi="Tahoma" w:cs="Tahoma"/>
        </w:rPr>
        <w:t>Ces courbes sont respectivement sur 0.49 et 0.30.</w:t>
      </w:r>
    </w:p>
    <w:p w:rsidR="00D67E50" w:rsidRDefault="00D67E50" w:rsidP="00D67E50">
      <w:pPr>
        <w:jc w:val="both"/>
        <w:rPr>
          <w:rFonts w:ascii="Tahoma" w:hAnsi="Tahoma" w:cs="Tahoma"/>
        </w:rPr>
      </w:pPr>
    </w:p>
    <w:p w:rsidR="000B7E03" w:rsidRDefault="003A1222" w:rsidP="008668F5">
      <w:pPr>
        <w:jc w:val="both"/>
        <w:rPr>
          <w:rFonts w:ascii="Tahoma" w:hAnsi="Tahoma" w:cs="Tahoma"/>
        </w:rPr>
      </w:pPr>
      <w:r w:rsidRPr="008631EB">
        <w:rPr>
          <w:rFonts w:ascii="Arial" w:hAnsi="Arial" w:cs="Arial"/>
          <w:b/>
          <w:bCs/>
        </w:rPr>
        <w:t xml:space="preserve">W : </w:t>
      </w:r>
      <w:r w:rsidR="001E796F">
        <w:rPr>
          <w:rFonts w:ascii="Tahoma" w:hAnsi="Tahoma" w:cs="Tahoma"/>
        </w:rPr>
        <w:t xml:space="preserve">La cassure de la borne basse du nuage est validée. </w:t>
      </w:r>
      <w:r w:rsidR="00493D28">
        <w:rPr>
          <w:rFonts w:ascii="Tahoma" w:hAnsi="Tahoma" w:cs="Tahoma"/>
        </w:rPr>
        <w:t xml:space="preserve">Elle était matérialisée par un plat sur 0.38 </w:t>
      </w:r>
      <w:r w:rsidR="001745D7">
        <w:rPr>
          <w:rFonts w:ascii="Tahoma" w:hAnsi="Tahoma" w:cs="Tahoma"/>
        </w:rPr>
        <w:t>qui</w:t>
      </w:r>
      <w:r w:rsidR="00493D28">
        <w:rPr>
          <w:rFonts w:ascii="Tahoma" w:hAnsi="Tahoma" w:cs="Tahoma"/>
        </w:rPr>
        <w:t xml:space="preserve"> servira dorénavant de résistance. Sous 0.38, le taux poursuivra sa baisse en direction du support de 0.23 concrétisé par le plat de nuage de la LS. Les plats de TS et de KS indique</w:t>
      </w:r>
      <w:r w:rsidR="001745D7">
        <w:rPr>
          <w:rFonts w:ascii="Tahoma" w:hAnsi="Tahoma" w:cs="Tahoma"/>
        </w:rPr>
        <w:t>nt</w:t>
      </w:r>
      <w:r w:rsidR="00493D28">
        <w:rPr>
          <w:rFonts w:ascii="Tahoma" w:hAnsi="Tahoma" w:cs="Tahoma"/>
        </w:rPr>
        <w:t xml:space="preserve"> que </w:t>
      </w:r>
      <w:r w:rsidR="001745D7">
        <w:rPr>
          <w:rFonts w:ascii="Tahoma" w:hAnsi="Tahoma" w:cs="Tahoma"/>
        </w:rPr>
        <w:t xml:space="preserve">le taux </w:t>
      </w:r>
      <w:r w:rsidR="00493D28">
        <w:rPr>
          <w:rFonts w:ascii="Tahoma" w:hAnsi="Tahoma" w:cs="Tahoma"/>
        </w:rPr>
        <w:t>n’est plus en tendance</w:t>
      </w:r>
      <w:r w:rsidR="001745D7">
        <w:rPr>
          <w:rFonts w:ascii="Tahoma" w:hAnsi="Tahoma" w:cs="Tahoma"/>
        </w:rPr>
        <w:t xml:space="preserve"> sur</w:t>
      </w:r>
      <w:r w:rsidR="001745D7" w:rsidRPr="001745D7">
        <w:rPr>
          <w:rFonts w:ascii="Tahoma" w:hAnsi="Tahoma" w:cs="Tahoma"/>
        </w:rPr>
        <w:t xml:space="preserve"> </w:t>
      </w:r>
      <w:r w:rsidR="001745D7">
        <w:rPr>
          <w:rFonts w:ascii="Tahoma" w:hAnsi="Tahoma" w:cs="Tahoma"/>
        </w:rPr>
        <w:t>cette unité de temps</w:t>
      </w:r>
      <w:r w:rsidR="00493D28">
        <w:rPr>
          <w:rFonts w:ascii="Tahoma" w:hAnsi="Tahoma" w:cs="Tahoma"/>
        </w:rPr>
        <w:t>. Dans ce contexte, sous 0.38, le potentiel de baisse se limitera au support de 0.23.</w:t>
      </w:r>
    </w:p>
    <w:p w:rsidR="00D67E50" w:rsidRDefault="00D67E50" w:rsidP="00D67E50">
      <w:pPr>
        <w:jc w:val="both"/>
        <w:rPr>
          <w:rFonts w:ascii="Tahoma" w:hAnsi="Tahoma" w:cs="Tahoma"/>
        </w:rPr>
      </w:pPr>
    </w:p>
    <w:p w:rsidR="00F43236" w:rsidRDefault="00A82504" w:rsidP="008668F5">
      <w:pPr>
        <w:jc w:val="both"/>
        <w:rPr>
          <w:rFonts w:ascii="Tahoma" w:hAnsi="Tahoma" w:cs="Tahoma"/>
        </w:rPr>
      </w:pPr>
      <w:r w:rsidRPr="008631EB">
        <w:rPr>
          <w:rFonts w:ascii="Arial" w:hAnsi="Arial" w:cs="Arial"/>
          <w:b/>
          <w:bCs/>
        </w:rPr>
        <w:t xml:space="preserve">D : </w:t>
      </w:r>
      <w:r w:rsidR="00C7405E">
        <w:rPr>
          <w:rFonts w:ascii="Tahoma" w:hAnsi="Tahoma" w:cs="Tahoma"/>
        </w:rPr>
        <w:t xml:space="preserve">Les </w:t>
      </w:r>
      <w:r w:rsidR="00170414">
        <w:rPr>
          <w:rFonts w:ascii="Tahoma" w:hAnsi="Tahoma" w:cs="Tahoma"/>
        </w:rPr>
        <w:t xml:space="preserve">plats de KS et de nuage futur </w:t>
      </w:r>
      <w:r w:rsidR="001745D7">
        <w:rPr>
          <w:rFonts w:ascii="Tahoma" w:hAnsi="Tahoma" w:cs="Tahoma"/>
        </w:rPr>
        <w:t>de</w:t>
      </w:r>
      <w:r w:rsidR="00170414">
        <w:rPr>
          <w:rFonts w:ascii="Tahoma" w:hAnsi="Tahoma" w:cs="Tahoma"/>
        </w:rPr>
        <w:t xml:space="preserve"> 0.42 vont servir de force de rappel. Ils limitent le potentiel de baisse. Entre 0.65 et 0.19, le plat de SSB se prolongera. Il tracera une résistance difficile à passer. Son dépassement permettra d’envisager le retour d’un courant haussier sur le court terme.</w:t>
      </w:r>
    </w:p>
    <w:p w:rsidR="00894DA5" w:rsidRPr="00FE4A7A" w:rsidRDefault="003C7F82" w:rsidP="008668F5">
      <w:pPr>
        <w:jc w:val="both"/>
        <w:rPr>
          <w:rFonts w:ascii="Tahoma" w:hAnsi="Tahoma" w:cs="Tahoma"/>
        </w:rPr>
      </w:pPr>
      <w:r>
        <w:rPr>
          <w:rFonts w:ascii="Tahoma" w:hAnsi="Tahoma" w:cs="Tahoma"/>
        </w:rPr>
        <w:t xml:space="preserve">Sur cette unité de temps, la KS restera plate sur 0.35 </w:t>
      </w:r>
      <w:r w:rsidR="001745D7">
        <w:rPr>
          <w:rFonts w:ascii="Tahoma" w:hAnsi="Tahoma" w:cs="Tahoma"/>
        </w:rPr>
        <w:t>et</w:t>
      </w:r>
      <w:r>
        <w:rPr>
          <w:rFonts w:ascii="Tahoma" w:hAnsi="Tahoma" w:cs="Tahoma"/>
        </w:rPr>
        <w:t xml:space="preserve"> servir</w:t>
      </w:r>
      <w:r w:rsidR="001745D7">
        <w:rPr>
          <w:rFonts w:ascii="Tahoma" w:hAnsi="Tahoma" w:cs="Tahoma"/>
        </w:rPr>
        <w:t>a</w:t>
      </w:r>
      <w:r>
        <w:rPr>
          <w:rFonts w:ascii="Tahoma" w:hAnsi="Tahoma" w:cs="Tahoma"/>
        </w:rPr>
        <w:t xml:space="preserve"> de pivot sur un horizon de très court terme. Sous 0.35 de nouveaux tests du support de 0.30 sont à prévoir. </w:t>
      </w:r>
      <w:r w:rsidR="002A3328">
        <w:rPr>
          <w:rFonts w:ascii="Tahoma" w:hAnsi="Tahoma" w:cs="Tahoma"/>
        </w:rPr>
        <w:t>Au-dessus</w:t>
      </w:r>
      <w:r>
        <w:rPr>
          <w:rFonts w:ascii="Tahoma" w:hAnsi="Tahoma" w:cs="Tahoma"/>
        </w:rPr>
        <w:t xml:space="preserve"> </w:t>
      </w:r>
      <w:r w:rsidR="001745D7">
        <w:rPr>
          <w:rFonts w:ascii="Tahoma" w:hAnsi="Tahoma" w:cs="Tahoma"/>
        </w:rPr>
        <w:t xml:space="preserve">de 0.35, </w:t>
      </w:r>
      <w:r w:rsidR="003F028B">
        <w:rPr>
          <w:rFonts w:ascii="Tahoma" w:hAnsi="Tahoma" w:cs="Tahoma"/>
        </w:rPr>
        <w:t xml:space="preserve">le 10 ans aura pour cible </w:t>
      </w:r>
      <w:r>
        <w:rPr>
          <w:rFonts w:ascii="Tahoma" w:hAnsi="Tahoma" w:cs="Tahoma"/>
        </w:rPr>
        <w:t>la résistance de 0.42</w:t>
      </w:r>
      <w:r w:rsidR="003F028B">
        <w:rPr>
          <w:rFonts w:ascii="Tahoma" w:hAnsi="Tahoma" w:cs="Tahoma"/>
        </w:rPr>
        <w:t>.</w:t>
      </w:r>
      <w:r>
        <w:rPr>
          <w:rFonts w:ascii="Tahoma" w:hAnsi="Tahoma" w:cs="Tahoma"/>
        </w:rPr>
        <w:t xml:space="preserve"> </w:t>
      </w:r>
      <w:r w:rsidR="00170414">
        <w:rPr>
          <w:rFonts w:ascii="Tahoma" w:hAnsi="Tahoma" w:cs="Tahoma"/>
        </w:rPr>
        <w:t xml:space="preserve"> </w:t>
      </w:r>
    </w:p>
    <w:p w:rsidR="009F220A" w:rsidRPr="00FA5CAD" w:rsidRDefault="009F220A" w:rsidP="00FD5E11">
      <w:pPr>
        <w:jc w:val="both"/>
        <w:rPr>
          <w:rFonts w:ascii="Tahoma" w:hAnsi="Tahoma" w:cs="Tahoma"/>
        </w:rPr>
      </w:pPr>
    </w:p>
    <w:p w:rsidR="0071546A" w:rsidRDefault="00F72829" w:rsidP="00732E1A">
      <w:pPr>
        <w:jc w:val="both"/>
        <w:rPr>
          <w:rFonts w:ascii="Arial" w:hAnsi="Arial" w:cs="Arial"/>
          <w:b/>
          <w:color w:val="00B0F0"/>
        </w:rPr>
      </w:pPr>
      <w:r w:rsidRPr="003F028B">
        <w:rPr>
          <w:rFonts w:ascii="Arial" w:hAnsi="Arial" w:cs="Arial"/>
          <w:b/>
          <w:color w:val="00B0F0"/>
          <w:u w:val="single"/>
        </w:rPr>
        <w:t>HEBDOMADAIRE</w:t>
      </w:r>
      <w:r w:rsidRPr="003F028B">
        <w:rPr>
          <w:rFonts w:ascii="Arial" w:hAnsi="Arial" w:cs="Arial"/>
          <w:b/>
          <w:color w:val="00B0F0"/>
        </w:rPr>
        <w:t xml:space="preserve"> : </w:t>
      </w:r>
      <w:r w:rsidR="009F220A" w:rsidRPr="003F028B">
        <w:rPr>
          <w:rFonts w:ascii="Arial" w:hAnsi="Arial" w:cs="Arial"/>
          <w:b/>
          <w:color w:val="00B0F0"/>
        </w:rPr>
        <w:t>L</w:t>
      </w:r>
      <w:r w:rsidR="003F028B" w:rsidRPr="003F028B">
        <w:rPr>
          <w:rFonts w:ascii="Arial" w:hAnsi="Arial" w:cs="Arial"/>
          <w:b/>
          <w:color w:val="00B0F0"/>
        </w:rPr>
        <w:t>e 10 ans est v</w:t>
      </w:r>
      <w:r w:rsidR="003F028B">
        <w:rPr>
          <w:rFonts w:ascii="Arial" w:hAnsi="Arial" w:cs="Arial"/>
          <w:b/>
          <w:color w:val="00B0F0"/>
        </w:rPr>
        <w:t xml:space="preserve">enu chercher son objectif de </w:t>
      </w:r>
      <w:r w:rsidR="001745D7">
        <w:rPr>
          <w:rFonts w:ascii="Arial" w:hAnsi="Arial" w:cs="Arial"/>
          <w:b/>
          <w:color w:val="00B0F0"/>
        </w:rPr>
        <w:t xml:space="preserve">long terme de </w:t>
      </w:r>
      <w:r w:rsidR="003F028B">
        <w:rPr>
          <w:rFonts w:ascii="Arial" w:hAnsi="Arial" w:cs="Arial"/>
          <w:b/>
          <w:color w:val="00B0F0"/>
        </w:rPr>
        <w:t>0.30</w:t>
      </w:r>
      <w:r w:rsidR="004C5D8C">
        <w:rPr>
          <w:rFonts w:ascii="Arial" w:hAnsi="Arial" w:cs="Arial"/>
          <w:b/>
          <w:color w:val="00B0F0"/>
        </w:rPr>
        <w:t xml:space="preserve">. </w:t>
      </w:r>
      <w:r w:rsidR="0071546A">
        <w:rPr>
          <w:rFonts w:ascii="Arial" w:hAnsi="Arial" w:cs="Arial"/>
          <w:b/>
          <w:color w:val="00B0F0"/>
        </w:rPr>
        <w:t>Le moyen terme avantage la baisse s</w:t>
      </w:r>
      <w:r w:rsidR="004C5D8C">
        <w:rPr>
          <w:rFonts w:ascii="Arial" w:hAnsi="Arial" w:cs="Arial"/>
          <w:b/>
          <w:color w:val="00B0F0"/>
        </w:rPr>
        <w:t xml:space="preserve">ous 0.38 </w:t>
      </w:r>
      <w:r w:rsidR="0071546A">
        <w:rPr>
          <w:rFonts w:ascii="Arial" w:hAnsi="Arial" w:cs="Arial"/>
          <w:b/>
          <w:color w:val="00B0F0"/>
        </w:rPr>
        <w:t>en direction du</w:t>
      </w:r>
      <w:r w:rsidR="004C5D8C">
        <w:rPr>
          <w:rFonts w:ascii="Arial" w:hAnsi="Arial" w:cs="Arial"/>
          <w:b/>
          <w:color w:val="00B0F0"/>
        </w:rPr>
        <w:t xml:space="preserve"> support de 0.23.</w:t>
      </w:r>
      <w:r w:rsidR="0071546A">
        <w:rPr>
          <w:rFonts w:ascii="Arial" w:hAnsi="Arial" w:cs="Arial"/>
          <w:b/>
          <w:color w:val="00B0F0"/>
        </w:rPr>
        <w:t xml:space="preserve"> Cet objectif sera conditionné sur le court terme par un maintien du taux sous 0.35.</w:t>
      </w:r>
    </w:p>
    <w:p w:rsidR="008668F5" w:rsidRPr="00AC7C55" w:rsidRDefault="000B6EB6" w:rsidP="00AC7C55">
      <w:pPr>
        <w:jc w:val="both"/>
        <w:rPr>
          <w:rFonts w:ascii="Arial" w:hAnsi="Arial" w:cs="Arial"/>
          <w:b/>
          <w:color w:val="00B0F0"/>
        </w:rPr>
      </w:pPr>
      <w:r>
        <w:rPr>
          <w:rFonts w:ascii="Arial" w:hAnsi="Arial" w:cs="Arial"/>
          <w:b/>
          <w:color w:val="00B0F0"/>
        </w:rPr>
        <w:lastRenderedPageBreak/>
        <w:t xml:space="preserve">Un changement de comportement favorable à la hausse passera par un retour du 10 ans </w:t>
      </w:r>
      <w:r w:rsidR="002A3328">
        <w:rPr>
          <w:rFonts w:ascii="Arial" w:hAnsi="Arial" w:cs="Arial"/>
          <w:b/>
          <w:color w:val="00B0F0"/>
        </w:rPr>
        <w:t>au-dessus</w:t>
      </w:r>
      <w:r>
        <w:rPr>
          <w:rFonts w:ascii="Arial" w:hAnsi="Arial" w:cs="Arial"/>
          <w:b/>
          <w:color w:val="00B0F0"/>
        </w:rPr>
        <w:t xml:space="preserve"> de 0.42.</w:t>
      </w:r>
    </w:p>
    <w:p w:rsidR="00E60B59" w:rsidRPr="003F028B" w:rsidRDefault="003E1B3F" w:rsidP="003952D7">
      <w:pPr>
        <w:jc w:val="both"/>
        <w:rPr>
          <w:rFonts w:ascii="Arial" w:hAnsi="Arial" w:cs="Arial"/>
          <w:b/>
          <w:bCs/>
          <w:sz w:val="36"/>
          <w:szCs w:val="36"/>
          <w:u w:val="single"/>
          <w:lang w:val="en-US"/>
        </w:rPr>
      </w:pPr>
      <w:r w:rsidRPr="003F028B">
        <w:rPr>
          <w:rFonts w:ascii="Arial" w:hAnsi="Arial" w:cs="Arial"/>
          <w:b/>
          <w:color w:val="FF0000"/>
        </w:rPr>
        <w:t xml:space="preserve">                                          </w:t>
      </w:r>
      <w:r w:rsidRPr="003F028B">
        <w:rPr>
          <w:rFonts w:ascii="Arial" w:hAnsi="Arial" w:cs="Arial"/>
          <w:b/>
          <w:bCs/>
          <w:sz w:val="36"/>
          <w:szCs w:val="36"/>
          <w:u w:val="single"/>
          <w:lang w:val="en-US"/>
        </w:rPr>
        <w:t>BUND</w:t>
      </w:r>
      <w:r w:rsidR="00E60B59" w:rsidRPr="003F028B">
        <w:rPr>
          <w:rFonts w:ascii="Arial" w:hAnsi="Arial" w:cs="Arial"/>
          <w:b/>
          <w:bCs/>
          <w:sz w:val="36"/>
          <w:szCs w:val="36"/>
          <w:u w:val="single"/>
          <w:lang w:val="en-US"/>
        </w:rPr>
        <w:t xml:space="preserve">   (week)</w:t>
      </w:r>
    </w:p>
    <w:p w:rsidR="00BA1E3D" w:rsidRPr="003F028B" w:rsidRDefault="00BA1E3D" w:rsidP="003952D7">
      <w:pPr>
        <w:jc w:val="both"/>
        <w:rPr>
          <w:rFonts w:ascii="Arial" w:hAnsi="Arial" w:cs="Arial"/>
          <w:b/>
          <w:bCs/>
          <w:sz w:val="36"/>
          <w:szCs w:val="36"/>
          <w:u w:val="single"/>
          <w:lang w:val="en-US"/>
        </w:rPr>
      </w:pPr>
    </w:p>
    <w:p w:rsidR="003E1B3F" w:rsidRPr="003F028B" w:rsidRDefault="00C97E40" w:rsidP="003952D7">
      <w:pPr>
        <w:jc w:val="both"/>
        <w:rPr>
          <w:rFonts w:ascii="Arial" w:hAnsi="Arial" w:cs="Arial"/>
          <w:b/>
          <w:color w:val="FF0000"/>
          <w:lang w:val="en-US"/>
        </w:rPr>
      </w:pPr>
      <w:r>
        <w:rPr>
          <w:noProof/>
        </w:rPr>
        <w:drawing>
          <wp:inline distT="0" distB="0" distL="0" distR="0" wp14:anchorId="7C9D8A81" wp14:editId="6AAAC56C">
            <wp:extent cx="6645910" cy="5724525"/>
            <wp:effectExtent l="0" t="0" r="254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5724525"/>
                    </a:xfrm>
                    <a:prstGeom prst="rect">
                      <a:avLst/>
                    </a:prstGeom>
                  </pic:spPr>
                </pic:pic>
              </a:graphicData>
            </a:graphic>
          </wp:inline>
        </w:drawing>
      </w:r>
    </w:p>
    <w:p w:rsidR="003E1B3F" w:rsidRPr="003F028B" w:rsidRDefault="003E1B3F" w:rsidP="003952D7">
      <w:pPr>
        <w:jc w:val="both"/>
        <w:rPr>
          <w:rFonts w:ascii="Arial" w:hAnsi="Arial" w:cs="Arial"/>
          <w:b/>
          <w:color w:val="FF0000"/>
          <w:lang w:val="en-US"/>
        </w:rPr>
      </w:pPr>
    </w:p>
    <w:p w:rsidR="00942E0E" w:rsidRDefault="00DE7494" w:rsidP="008668F5">
      <w:pPr>
        <w:jc w:val="both"/>
        <w:rPr>
          <w:rFonts w:ascii="Tahoma" w:hAnsi="Tahoma" w:cs="Tahoma"/>
        </w:rPr>
      </w:pPr>
      <w:r w:rsidRPr="00583E6E">
        <w:rPr>
          <w:rFonts w:ascii="Tahoma" w:hAnsi="Tahoma" w:cs="Tahoma"/>
        </w:rPr>
        <w:t>- L</w:t>
      </w:r>
      <w:r w:rsidR="00457CAE">
        <w:rPr>
          <w:rFonts w:ascii="Tahoma" w:hAnsi="Tahoma" w:cs="Tahoma"/>
        </w:rPr>
        <w:t>a dernière chandelle reprend les cara</w:t>
      </w:r>
      <w:r w:rsidR="000A6EFA">
        <w:rPr>
          <w:rFonts w:ascii="Tahoma" w:hAnsi="Tahoma" w:cs="Tahoma"/>
        </w:rPr>
        <w:t>c</w:t>
      </w:r>
      <w:r w:rsidR="00457CAE">
        <w:rPr>
          <w:rFonts w:ascii="Tahoma" w:hAnsi="Tahoma" w:cs="Tahoma"/>
        </w:rPr>
        <w:t>téristiques d’une bougie d’alerte.</w:t>
      </w:r>
    </w:p>
    <w:p w:rsidR="00674A32" w:rsidRDefault="00674A32" w:rsidP="008668F5">
      <w:pPr>
        <w:jc w:val="both"/>
        <w:rPr>
          <w:rFonts w:ascii="Tahoma" w:hAnsi="Tahoma" w:cs="Tahoma"/>
        </w:rPr>
      </w:pPr>
    </w:p>
    <w:p w:rsidR="00674A32" w:rsidRDefault="00674A32" w:rsidP="008668F5">
      <w:pPr>
        <w:jc w:val="both"/>
        <w:rPr>
          <w:rFonts w:ascii="Tahoma" w:hAnsi="Tahoma" w:cs="Tahoma"/>
        </w:rPr>
      </w:pPr>
      <w:r>
        <w:rPr>
          <w:rFonts w:ascii="Tahoma" w:hAnsi="Tahoma" w:cs="Tahoma"/>
        </w:rPr>
        <w:t>- Sous son point haut de 162.66, elle impactera négativement les prix.</w:t>
      </w:r>
    </w:p>
    <w:p w:rsidR="00674A32" w:rsidRDefault="00674A32" w:rsidP="008668F5">
      <w:pPr>
        <w:jc w:val="both"/>
        <w:rPr>
          <w:rFonts w:ascii="Tahoma" w:hAnsi="Tahoma" w:cs="Tahoma"/>
        </w:rPr>
      </w:pPr>
    </w:p>
    <w:p w:rsidR="00674A32" w:rsidRDefault="002C167B" w:rsidP="008668F5">
      <w:pPr>
        <w:jc w:val="both"/>
        <w:rPr>
          <w:rFonts w:ascii="Tahoma" w:hAnsi="Tahoma" w:cs="Tahoma"/>
        </w:rPr>
      </w:pPr>
      <w:r>
        <w:rPr>
          <w:rFonts w:ascii="Tahoma" w:hAnsi="Tahoma" w:cs="Tahoma"/>
        </w:rPr>
        <w:t xml:space="preserve">- Sa </w:t>
      </w:r>
      <w:r w:rsidR="002A3328">
        <w:rPr>
          <w:rFonts w:ascii="Tahoma" w:hAnsi="Tahoma" w:cs="Tahoma"/>
        </w:rPr>
        <w:t>clôture</w:t>
      </w:r>
      <w:r>
        <w:rPr>
          <w:rFonts w:ascii="Tahoma" w:hAnsi="Tahoma" w:cs="Tahoma"/>
        </w:rPr>
        <w:t xml:space="preserve"> montre un affaiblissement de la dynamique haussière alors que sa mèche basse </w:t>
      </w:r>
      <w:r w:rsidR="00BD7450">
        <w:rPr>
          <w:rFonts w:ascii="Tahoma" w:hAnsi="Tahoma" w:cs="Tahoma"/>
        </w:rPr>
        <w:t>ne remet pas en question la domination du courant acheteur.</w:t>
      </w:r>
    </w:p>
    <w:p w:rsidR="00BD7450" w:rsidRDefault="00BD7450" w:rsidP="008668F5">
      <w:pPr>
        <w:jc w:val="both"/>
        <w:rPr>
          <w:rFonts w:ascii="Tahoma" w:hAnsi="Tahoma" w:cs="Tahoma"/>
        </w:rPr>
      </w:pPr>
    </w:p>
    <w:p w:rsidR="006453BD" w:rsidRDefault="00BD7450" w:rsidP="008668F5">
      <w:pPr>
        <w:jc w:val="both"/>
        <w:rPr>
          <w:rFonts w:ascii="Tahoma" w:hAnsi="Tahoma" w:cs="Tahoma"/>
        </w:rPr>
      </w:pPr>
      <w:r>
        <w:rPr>
          <w:rFonts w:ascii="Tahoma" w:hAnsi="Tahoma" w:cs="Tahoma"/>
        </w:rPr>
        <w:t xml:space="preserve">- </w:t>
      </w:r>
      <w:r w:rsidR="006453BD">
        <w:rPr>
          <w:rFonts w:ascii="Tahoma" w:hAnsi="Tahoma" w:cs="Tahoma"/>
        </w:rPr>
        <w:t xml:space="preserve">L’affaiblissement de la dynamique haussière </w:t>
      </w:r>
      <w:r w:rsidR="00AC7C55">
        <w:rPr>
          <w:rFonts w:ascii="Tahoma" w:hAnsi="Tahoma" w:cs="Tahoma"/>
        </w:rPr>
        <w:t>basculera</w:t>
      </w:r>
      <w:r w:rsidR="006453BD">
        <w:rPr>
          <w:rFonts w:ascii="Tahoma" w:hAnsi="Tahoma" w:cs="Tahoma"/>
        </w:rPr>
        <w:t xml:space="preserve"> en correction des prix en cassure de 161.75.</w:t>
      </w:r>
    </w:p>
    <w:p w:rsidR="006453BD" w:rsidRDefault="006453BD" w:rsidP="008668F5">
      <w:pPr>
        <w:jc w:val="both"/>
        <w:rPr>
          <w:rFonts w:ascii="Tahoma" w:hAnsi="Tahoma" w:cs="Tahoma"/>
        </w:rPr>
      </w:pPr>
    </w:p>
    <w:p w:rsidR="00BD7450" w:rsidRPr="00583E6E" w:rsidRDefault="006453BD" w:rsidP="008668F5">
      <w:pPr>
        <w:jc w:val="both"/>
        <w:rPr>
          <w:rFonts w:ascii="Tahoma" w:hAnsi="Tahoma" w:cs="Tahoma"/>
        </w:rPr>
      </w:pPr>
      <w:r>
        <w:rPr>
          <w:rFonts w:ascii="Tahoma" w:hAnsi="Tahoma" w:cs="Tahoma"/>
        </w:rPr>
        <w:t xml:space="preserve">- Sous 161.75, le plat de TS de 160.83 servira de support. </w:t>
      </w:r>
    </w:p>
    <w:p w:rsidR="005A5601" w:rsidRPr="00583E6E" w:rsidRDefault="005A5601" w:rsidP="00AB20FB">
      <w:pPr>
        <w:jc w:val="both"/>
        <w:rPr>
          <w:rFonts w:ascii="Tahoma" w:hAnsi="Tahoma" w:cs="Tahoma"/>
        </w:rPr>
      </w:pPr>
    </w:p>
    <w:p w:rsidR="00854929" w:rsidRDefault="00854929" w:rsidP="00AB20FB">
      <w:pPr>
        <w:jc w:val="both"/>
        <w:rPr>
          <w:rFonts w:ascii="Tahoma" w:hAnsi="Tahoma" w:cs="Tahoma"/>
        </w:rPr>
      </w:pPr>
    </w:p>
    <w:p w:rsidR="00AC7C55" w:rsidRDefault="00AC7C55" w:rsidP="00AB20FB">
      <w:pPr>
        <w:jc w:val="both"/>
        <w:rPr>
          <w:rFonts w:ascii="Tahoma" w:hAnsi="Tahoma" w:cs="Tahoma"/>
        </w:rPr>
      </w:pPr>
    </w:p>
    <w:p w:rsidR="00AC7C55" w:rsidRPr="00583E6E" w:rsidRDefault="00AC7C55" w:rsidP="00AB20FB">
      <w:pPr>
        <w:jc w:val="both"/>
        <w:rPr>
          <w:rFonts w:ascii="Tahoma" w:hAnsi="Tahoma" w:cs="Tahoma"/>
        </w:rPr>
      </w:pPr>
    </w:p>
    <w:p w:rsidR="00E60B59" w:rsidRPr="00583E6E" w:rsidRDefault="00B35DBD" w:rsidP="003952D7">
      <w:pPr>
        <w:jc w:val="both"/>
        <w:rPr>
          <w:rFonts w:ascii="Arial" w:hAnsi="Arial" w:cs="Arial"/>
          <w:b/>
          <w:bCs/>
          <w:sz w:val="36"/>
          <w:szCs w:val="36"/>
          <w:u w:val="single"/>
        </w:rPr>
      </w:pPr>
      <w:r w:rsidRPr="00583E6E">
        <w:rPr>
          <w:rFonts w:ascii="Tahoma" w:hAnsi="Tahoma" w:cs="Tahoma"/>
        </w:rPr>
        <w:t xml:space="preserve">                                       </w:t>
      </w:r>
      <w:r w:rsidRPr="00583E6E">
        <w:rPr>
          <w:rFonts w:ascii="Arial" w:hAnsi="Arial" w:cs="Arial"/>
          <w:b/>
          <w:bCs/>
          <w:sz w:val="36"/>
          <w:szCs w:val="36"/>
          <w:u w:val="single"/>
        </w:rPr>
        <w:t>BUND   (day)</w:t>
      </w:r>
    </w:p>
    <w:p w:rsidR="00B35DBD" w:rsidRPr="00583E6E" w:rsidRDefault="00B35DBD" w:rsidP="003952D7">
      <w:pPr>
        <w:jc w:val="both"/>
        <w:rPr>
          <w:rFonts w:ascii="Tahoma" w:hAnsi="Tahoma" w:cs="Tahoma"/>
        </w:rPr>
      </w:pPr>
    </w:p>
    <w:p w:rsidR="00B35DBD" w:rsidRPr="00E34CDA" w:rsidRDefault="00B35DBD" w:rsidP="003952D7">
      <w:pPr>
        <w:jc w:val="both"/>
        <w:rPr>
          <w:rFonts w:ascii="Arial" w:hAnsi="Arial" w:cs="Arial"/>
          <w:b/>
          <w:color w:val="FF0000"/>
        </w:rPr>
      </w:pPr>
    </w:p>
    <w:p w:rsidR="00A84247" w:rsidRPr="00AA580A" w:rsidRDefault="00C97E40" w:rsidP="003952D7">
      <w:pPr>
        <w:jc w:val="both"/>
        <w:rPr>
          <w:rFonts w:ascii="Arial" w:hAnsi="Arial" w:cs="Arial"/>
          <w:b/>
          <w:lang w:val="en-US"/>
        </w:rPr>
      </w:pPr>
      <w:r>
        <w:rPr>
          <w:noProof/>
        </w:rPr>
        <w:drawing>
          <wp:inline distT="0" distB="0" distL="0" distR="0" wp14:anchorId="4196C42F" wp14:editId="765C53A7">
            <wp:extent cx="6645910" cy="5306060"/>
            <wp:effectExtent l="0" t="0" r="254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5306060"/>
                    </a:xfrm>
                    <a:prstGeom prst="rect">
                      <a:avLst/>
                    </a:prstGeom>
                  </pic:spPr>
                </pic:pic>
              </a:graphicData>
            </a:graphic>
          </wp:inline>
        </w:drawing>
      </w:r>
    </w:p>
    <w:p w:rsidR="00B35DBD" w:rsidRDefault="00B35DBD" w:rsidP="003952D7">
      <w:pPr>
        <w:jc w:val="both"/>
        <w:rPr>
          <w:rFonts w:ascii="Arial" w:hAnsi="Arial" w:cs="Arial"/>
          <w:b/>
          <w:color w:val="FF0000"/>
          <w:lang w:val="en-US"/>
        </w:rPr>
      </w:pPr>
    </w:p>
    <w:p w:rsidR="00854929" w:rsidRPr="00AA580A" w:rsidRDefault="00854929" w:rsidP="003952D7">
      <w:pPr>
        <w:jc w:val="both"/>
        <w:rPr>
          <w:rFonts w:ascii="Arial" w:hAnsi="Arial" w:cs="Arial"/>
          <w:b/>
          <w:color w:val="FF0000"/>
          <w:lang w:val="en-US"/>
        </w:rPr>
      </w:pPr>
    </w:p>
    <w:p w:rsidR="00A25FDD" w:rsidRDefault="003C27DA" w:rsidP="008668F5">
      <w:pPr>
        <w:jc w:val="both"/>
        <w:rPr>
          <w:rFonts w:ascii="Tahoma" w:hAnsi="Tahoma" w:cs="Tahoma"/>
        </w:rPr>
      </w:pPr>
      <w:r w:rsidRPr="00434880">
        <w:rPr>
          <w:rFonts w:ascii="Tahoma" w:hAnsi="Tahoma" w:cs="Tahoma"/>
        </w:rPr>
        <w:t xml:space="preserve">- </w:t>
      </w:r>
      <w:r w:rsidR="00434880" w:rsidRPr="00434880">
        <w:rPr>
          <w:rFonts w:ascii="Tahoma" w:hAnsi="Tahoma" w:cs="Tahoma"/>
        </w:rPr>
        <w:t xml:space="preserve">Les corrections visibles à travers les chandelles noires sont </w:t>
      </w:r>
      <w:r w:rsidR="00434880">
        <w:rPr>
          <w:rFonts w:ascii="Tahoma" w:hAnsi="Tahoma" w:cs="Tahoma"/>
        </w:rPr>
        <w:t>limitées. La couleur blanche est plus présente depuis le point bas de 159.37</w:t>
      </w:r>
      <w:r w:rsidR="00AC7C55">
        <w:rPr>
          <w:rFonts w:ascii="Tahoma" w:hAnsi="Tahoma" w:cs="Tahoma"/>
        </w:rPr>
        <w:t>.</w:t>
      </w:r>
      <w:r w:rsidR="00434880">
        <w:rPr>
          <w:rFonts w:ascii="Tahoma" w:hAnsi="Tahoma" w:cs="Tahoma"/>
        </w:rPr>
        <w:t xml:space="preserve"> </w:t>
      </w:r>
      <w:r w:rsidR="00AC7C55">
        <w:rPr>
          <w:rFonts w:ascii="Tahoma" w:hAnsi="Tahoma" w:cs="Tahoma"/>
        </w:rPr>
        <w:t>Elle</w:t>
      </w:r>
      <w:r w:rsidR="00434880">
        <w:rPr>
          <w:rFonts w:ascii="Tahoma" w:hAnsi="Tahoma" w:cs="Tahoma"/>
        </w:rPr>
        <w:t xml:space="preserve"> montre la domination des acheteurs. </w:t>
      </w:r>
      <w:r w:rsidR="00A25FDD" w:rsidRPr="00434880">
        <w:rPr>
          <w:rFonts w:ascii="Tahoma" w:hAnsi="Tahoma" w:cs="Tahoma"/>
        </w:rPr>
        <w:t xml:space="preserve"> </w:t>
      </w:r>
    </w:p>
    <w:p w:rsidR="00434880" w:rsidRDefault="00434880" w:rsidP="008668F5">
      <w:pPr>
        <w:jc w:val="both"/>
        <w:rPr>
          <w:rFonts w:ascii="Tahoma" w:hAnsi="Tahoma" w:cs="Tahoma"/>
        </w:rPr>
      </w:pPr>
    </w:p>
    <w:p w:rsidR="00434880" w:rsidRDefault="00434880" w:rsidP="008668F5">
      <w:pPr>
        <w:jc w:val="both"/>
        <w:rPr>
          <w:rFonts w:ascii="Tahoma" w:hAnsi="Tahoma" w:cs="Tahoma"/>
        </w:rPr>
      </w:pPr>
      <w:r>
        <w:rPr>
          <w:rFonts w:ascii="Tahoma" w:hAnsi="Tahoma" w:cs="Tahoma"/>
        </w:rPr>
        <w:t xml:space="preserve">- Le croisement TS/KS </w:t>
      </w:r>
      <w:r w:rsidR="002A3328">
        <w:rPr>
          <w:rFonts w:ascii="Tahoma" w:hAnsi="Tahoma" w:cs="Tahoma"/>
        </w:rPr>
        <w:t>au-dessus</w:t>
      </w:r>
      <w:r>
        <w:rPr>
          <w:rFonts w:ascii="Tahoma" w:hAnsi="Tahoma" w:cs="Tahoma"/>
        </w:rPr>
        <w:t xml:space="preserve"> du nuage est en théorie un signal fort de </w:t>
      </w:r>
      <w:r w:rsidR="002A3328">
        <w:rPr>
          <w:rFonts w:ascii="Tahoma" w:hAnsi="Tahoma" w:cs="Tahoma"/>
        </w:rPr>
        <w:t>poursuite</w:t>
      </w:r>
      <w:r>
        <w:rPr>
          <w:rFonts w:ascii="Tahoma" w:hAnsi="Tahoma" w:cs="Tahoma"/>
        </w:rPr>
        <w:t xml:space="preserve"> de la hausse.</w:t>
      </w:r>
    </w:p>
    <w:p w:rsidR="00434880" w:rsidRDefault="00434880" w:rsidP="008668F5">
      <w:pPr>
        <w:jc w:val="both"/>
        <w:rPr>
          <w:rFonts w:ascii="Tahoma" w:hAnsi="Tahoma" w:cs="Tahoma"/>
        </w:rPr>
      </w:pPr>
    </w:p>
    <w:p w:rsidR="00434880" w:rsidRPr="00434880" w:rsidRDefault="00434880" w:rsidP="008668F5">
      <w:pPr>
        <w:jc w:val="both"/>
        <w:rPr>
          <w:rFonts w:ascii="Tahoma" w:hAnsi="Tahoma" w:cs="Tahoma"/>
        </w:rPr>
      </w:pPr>
      <w:r>
        <w:rPr>
          <w:rFonts w:ascii="Tahoma" w:hAnsi="Tahoma" w:cs="Tahoma"/>
        </w:rPr>
        <w:t xml:space="preserve">- 161.75 servira de support. </w:t>
      </w:r>
      <w:r w:rsidR="002A3328">
        <w:rPr>
          <w:rFonts w:ascii="Tahoma" w:hAnsi="Tahoma" w:cs="Tahoma"/>
        </w:rPr>
        <w:t>Au-dessus</w:t>
      </w:r>
      <w:r>
        <w:rPr>
          <w:rFonts w:ascii="Tahoma" w:hAnsi="Tahoma" w:cs="Tahoma"/>
        </w:rPr>
        <w:t xml:space="preserve"> de ce point le contrat s’orientera sur 163.00. En dépassement, </w:t>
      </w:r>
      <w:r w:rsidR="00AC7C55">
        <w:rPr>
          <w:rFonts w:ascii="Tahoma" w:hAnsi="Tahoma" w:cs="Tahoma"/>
        </w:rPr>
        <w:t>le marché aura pour cible le sommet de 164.19.</w:t>
      </w:r>
    </w:p>
    <w:p w:rsidR="00B81C31" w:rsidRPr="00434880" w:rsidRDefault="00B81C31" w:rsidP="00F72829">
      <w:pPr>
        <w:jc w:val="both"/>
        <w:rPr>
          <w:rFonts w:ascii="Tahoma" w:hAnsi="Tahoma" w:cs="Tahoma"/>
        </w:rPr>
      </w:pPr>
    </w:p>
    <w:p w:rsidR="00E65B93" w:rsidRDefault="00E65B93" w:rsidP="00F72829">
      <w:pPr>
        <w:jc w:val="both"/>
        <w:rPr>
          <w:rFonts w:ascii="Tahoma" w:hAnsi="Tahoma" w:cs="Tahoma"/>
        </w:rPr>
      </w:pPr>
    </w:p>
    <w:p w:rsidR="00C1185F" w:rsidRDefault="00C1185F" w:rsidP="00F72829">
      <w:pPr>
        <w:jc w:val="both"/>
        <w:rPr>
          <w:rFonts w:ascii="Tahoma" w:hAnsi="Tahoma" w:cs="Tahoma"/>
        </w:rPr>
      </w:pPr>
    </w:p>
    <w:p w:rsidR="00C1185F" w:rsidRDefault="00C1185F" w:rsidP="00F72829">
      <w:pPr>
        <w:jc w:val="both"/>
        <w:rPr>
          <w:rFonts w:ascii="Tahoma" w:hAnsi="Tahoma" w:cs="Tahoma"/>
        </w:rPr>
      </w:pPr>
    </w:p>
    <w:p w:rsidR="00C1185F" w:rsidRDefault="00C1185F" w:rsidP="00F72829">
      <w:pPr>
        <w:jc w:val="both"/>
        <w:rPr>
          <w:rFonts w:ascii="Tahoma" w:hAnsi="Tahoma" w:cs="Tahoma"/>
        </w:rPr>
      </w:pPr>
    </w:p>
    <w:p w:rsidR="00A267FD" w:rsidRDefault="00A267FD" w:rsidP="00F72829">
      <w:pPr>
        <w:jc w:val="both"/>
        <w:rPr>
          <w:rFonts w:ascii="Tahoma" w:hAnsi="Tahoma" w:cs="Tahoma"/>
        </w:rPr>
      </w:pPr>
    </w:p>
    <w:p w:rsidR="00C1185F" w:rsidRDefault="00C1185F" w:rsidP="00F72829">
      <w:pPr>
        <w:jc w:val="both"/>
        <w:rPr>
          <w:rFonts w:ascii="Tahoma" w:hAnsi="Tahoma" w:cs="Tahoma"/>
        </w:rPr>
      </w:pPr>
    </w:p>
    <w:p w:rsidR="00C1185F" w:rsidRDefault="00C1185F" w:rsidP="00F72829">
      <w:pPr>
        <w:jc w:val="both"/>
        <w:rPr>
          <w:rFonts w:ascii="Tahoma" w:hAnsi="Tahoma" w:cs="Tahoma"/>
        </w:rPr>
      </w:pPr>
    </w:p>
    <w:p w:rsidR="008A59F5" w:rsidRPr="00434880" w:rsidRDefault="008A59F5" w:rsidP="00F72829">
      <w:pPr>
        <w:jc w:val="both"/>
        <w:rPr>
          <w:rFonts w:ascii="Tahoma" w:hAnsi="Tahoma" w:cs="Tahoma"/>
        </w:rPr>
      </w:pPr>
    </w:p>
    <w:p w:rsidR="00F72829" w:rsidRPr="00434880" w:rsidRDefault="004E02D3" w:rsidP="008F40E5">
      <w:pPr>
        <w:jc w:val="both"/>
        <w:rPr>
          <w:rFonts w:ascii="Arial" w:hAnsi="Arial" w:cs="Arial"/>
          <w:b/>
          <w:bCs/>
          <w:sz w:val="36"/>
          <w:szCs w:val="36"/>
          <w:u w:val="single"/>
        </w:rPr>
      </w:pPr>
      <w:r w:rsidRPr="00434880">
        <w:rPr>
          <w:rFonts w:ascii="Arial" w:hAnsi="Arial" w:cs="Arial"/>
          <w:b/>
          <w:bCs/>
          <w:sz w:val="28"/>
          <w:szCs w:val="28"/>
        </w:rPr>
        <w:t xml:space="preserve"> </w:t>
      </w:r>
      <w:r w:rsidR="00F72829" w:rsidRPr="00434880">
        <w:rPr>
          <w:rFonts w:ascii="Arial" w:hAnsi="Arial" w:cs="Arial"/>
          <w:b/>
          <w:bCs/>
          <w:sz w:val="28"/>
          <w:szCs w:val="28"/>
        </w:rPr>
        <w:t xml:space="preserve">                                     </w:t>
      </w:r>
      <w:r w:rsidR="00F72829" w:rsidRPr="00434880">
        <w:rPr>
          <w:rFonts w:ascii="Arial" w:hAnsi="Arial" w:cs="Arial"/>
          <w:b/>
          <w:bCs/>
          <w:sz w:val="36"/>
          <w:szCs w:val="36"/>
          <w:u w:val="single"/>
        </w:rPr>
        <w:t xml:space="preserve">10 ans USA </w:t>
      </w:r>
    </w:p>
    <w:p w:rsidR="00F72829" w:rsidRPr="00434880" w:rsidRDefault="00F72829" w:rsidP="00BE257A">
      <w:pPr>
        <w:jc w:val="both"/>
        <w:rPr>
          <w:rFonts w:ascii="Arial" w:hAnsi="Arial" w:cs="Arial"/>
          <w:b/>
          <w:sz w:val="28"/>
          <w:szCs w:val="28"/>
          <w:u w:val="single"/>
        </w:rPr>
      </w:pPr>
      <w:r w:rsidRPr="00434880">
        <w:rPr>
          <w:rFonts w:ascii="Arial" w:hAnsi="Arial" w:cs="Arial"/>
          <w:b/>
          <w:sz w:val="28"/>
          <w:szCs w:val="28"/>
          <w:u w:val="single"/>
        </w:rPr>
        <w:t>Monthly</w:t>
      </w:r>
    </w:p>
    <w:p w:rsidR="00B03AED" w:rsidRPr="00501F69" w:rsidRDefault="00C97875"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4920" cy="4245429"/>
            <wp:effectExtent l="0" t="0" r="3810" b="3175"/>
            <wp:docPr id="8" name="Image 8" descr="C:\Temp\Bloomberg\temp\bfm9C1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9C1A.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0975" cy="4249297"/>
                    </a:xfrm>
                    <a:prstGeom prst="rect">
                      <a:avLst/>
                    </a:prstGeom>
                    <a:noFill/>
                    <a:ln>
                      <a:noFill/>
                    </a:ln>
                  </pic:spPr>
                </pic:pic>
              </a:graphicData>
            </a:graphic>
          </wp:inline>
        </w:drawing>
      </w:r>
    </w:p>
    <w:p w:rsidR="00B03AED" w:rsidRPr="00501F69" w:rsidRDefault="00B03AED" w:rsidP="006E6472">
      <w:pPr>
        <w:jc w:val="both"/>
        <w:rPr>
          <w:rFonts w:ascii="Arial" w:hAnsi="Arial" w:cs="Arial"/>
          <w:b/>
          <w:bCs/>
          <w:sz w:val="28"/>
          <w:szCs w:val="28"/>
          <w:u w:val="single"/>
          <w:lang w:val="en-US"/>
        </w:rPr>
      </w:pPr>
      <w:r w:rsidRPr="00501F69">
        <w:rPr>
          <w:rFonts w:ascii="Arial" w:hAnsi="Arial" w:cs="Arial"/>
          <w:b/>
          <w:bCs/>
          <w:sz w:val="28"/>
          <w:szCs w:val="28"/>
          <w:u w:val="single"/>
          <w:lang w:val="en-US"/>
        </w:rPr>
        <w:t>Weekly</w:t>
      </w:r>
    </w:p>
    <w:p w:rsidR="006E6472" w:rsidRPr="00501F69" w:rsidRDefault="00C97875" w:rsidP="00B65AF1">
      <w:pPr>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4640" cy="4294414"/>
            <wp:effectExtent l="0" t="0" r="3810" b="0"/>
            <wp:docPr id="9" name="Image 9" descr="C:\Temp\Bloomberg\temp\bfmE9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E912.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5034" cy="4301132"/>
                    </a:xfrm>
                    <a:prstGeom prst="rect">
                      <a:avLst/>
                    </a:prstGeom>
                    <a:noFill/>
                    <a:ln>
                      <a:noFill/>
                    </a:ln>
                  </pic:spPr>
                </pic:pic>
              </a:graphicData>
            </a:graphic>
          </wp:inline>
        </w:drawing>
      </w:r>
    </w:p>
    <w:p w:rsidR="00A2655E" w:rsidRPr="00571826" w:rsidRDefault="00A30EF5" w:rsidP="00571826">
      <w:pPr>
        <w:ind w:left="-850"/>
        <w:jc w:val="both"/>
        <w:rPr>
          <w:rFonts w:ascii="Arial" w:hAnsi="Arial" w:cs="Arial"/>
          <w:b/>
          <w:bCs/>
          <w:sz w:val="28"/>
          <w:szCs w:val="28"/>
          <w:u w:val="single"/>
          <w:lang w:val="en-US"/>
        </w:rPr>
      </w:pPr>
      <w:r w:rsidRPr="00501F69">
        <w:rPr>
          <w:rFonts w:ascii="Arial" w:hAnsi="Arial" w:cs="Arial"/>
          <w:b/>
          <w:bCs/>
          <w:sz w:val="28"/>
          <w:szCs w:val="28"/>
          <w:lang w:val="en-US"/>
        </w:rPr>
        <w:t xml:space="preserve">       </w:t>
      </w:r>
      <w:r w:rsidR="00B4277F" w:rsidRPr="00501F69">
        <w:rPr>
          <w:rFonts w:ascii="Arial" w:hAnsi="Arial" w:cs="Arial"/>
          <w:b/>
          <w:bCs/>
          <w:sz w:val="28"/>
          <w:szCs w:val="28"/>
          <w:lang w:val="en-US"/>
        </w:rPr>
        <w:t xml:space="preserve">   </w:t>
      </w:r>
      <w:r w:rsidR="00B03AED" w:rsidRPr="00501F69">
        <w:rPr>
          <w:rFonts w:ascii="Arial" w:hAnsi="Arial" w:cs="Arial"/>
          <w:b/>
          <w:bCs/>
          <w:sz w:val="28"/>
          <w:szCs w:val="28"/>
          <w:u w:val="single"/>
          <w:lang w:val="en-US"/>
        </w:rPr>
        <w:t xml:space="preserve">Daily </w:t>
      </w:r>
    </w:p>
    <w:p w:rsidR="00AC4466" w:rsidRDefault="00C97875" w:rsidP="00F9531A">
      <w:pPr>
        <w:jc w:val="both"/>
        <w:rPr>
          <w:rFonts w:ascii="Arial" w:hAnsi="Arial" w:cs="Arial"/>
          <w:b/>
          <w:bCs/>
          <w:sz w:val="28"/>
          <w:szCs w:val="28"/>
          <w:u w:val="single"/>
        </w:rPr>
      </w:pPr>
      <w:r>
        <w:rPr>
          <w:rFonts w:ascii="Arial" w:hAnsi="Arial" w:cs="Arial"/>
          <w:b/>
          <w:bCs/>
          <w:noProof/>
          <w:sz w:val="28"/>
          <w:szCs w:val="28"/>
          <w:u w:val="single"/>
        </w:rPr>
        <w:lastRenderedPageBreak/>
        <w:drawing>
          <wp:inline distT="0" distB="0" distL="0" distR="0">
            <wp:extent cx="6645910" cy="4789389"/>
            <wp:effectExtent l="0" t="0" r="2540" b="0"/>
            <wp:docPr id="10" name="Image 10" descr="C:\Temp\Bloomberg\temp\bfm4B5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4B5F.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4789389"/>
                    </a:xfrm>
                    <a:prstGeom prst="rect">
                      <a:avLst/>
                    </a:prstGeom>
                    <a:noFill/>
                    <a:ln>
                      <a:noFill/>
                    </a:ln>
                  </pic:spPr>
                </pic:pic>
              </a:graphicData>
            </a:graphic>
          </wp:inline>
        </w:drawing>
      </w:r>
    </w:p>
    <w:p w:rsidR="00C97875" w:rsidRPr="00F4699E" w:rsidRDefault="00C97875" w:rsidP="00F9531A">
      <w:pPr>
        <w:jc w:val="both"/>
        <w:rPr>
          <w:rFonts w:ascii="Arial" w:hAnsi="Arial" w:cs="Arial"/>
          <w:b/>
          <w:bCs/>
          <w:sz w:val="28"/>
          <w:szCs w:val="28"/>
          <w:u w:val="single"/>
        </w:rPr>
      </w:pPr>
    </w:p>
    <w:p w:rsidR="007C5980" w:rsidRPr="00F16B6C" w:rsidRDefault="00D2583B" w:rsidP="00D67E50">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E65B93">
        <w:rPr>
          <w:rFonts w:ascii="Tahoma" w:hAnsi="Tahoma" w:cs="Tahoma"/>
        </w:rPr>
        <w:t xml:space="preserve">Le </w:t>
      </w:r>
      <w:r w:rsidR="007774E7">
        <w:rPr>
          <w:rFonts w:ascii="Tahoma" w:hAnsi="Tahoma" w:cs="Tahoma"/>
        </w:rPr>
        <w:t>t</w:t>
      </w:r>
      <w:r w:rsidR="00E51CC2">
        <w:rPr>
          <w:rFonts w:ascii="Tahoma" w:hAnsi="Tahoma" w:cs="Tahoma"/>
        </w:rPr>
        <w:t xml:space="preserve">aux et LS évoluent </w:t>
      </w:r>
      <w:r w:rsidR="004F7DB1">
        <w:rPr>
          <w:rFonts w:ascii="Tahoma" w:hAnsi="Tahoma" w:cs="Tahoma"/>
        </w:rPr>
        <w:t>au-dessus</w:t>
      </w:r>
      <w:r w:rsidR="00E51CC2">
        <w:rPr>
          <w:rFonts w:ascii="Tahoma" w:hAnsi="Tahoma" w:cs="Tahoma"/>
        </w:rPr>
        <w:t xml:space="preserve"> de leur nuage</w:t>
      </w:r>
      <w:r w:rsidR="00E65B93">
        <w:rPr>
          <w:rFonts w:ascii="Tahoma" w:hAnsi="Tahoma" w:cs="Tahoma"/>
        </w:rPr>
        <w:t xml:space="preserve"> et positionnent le marché dans</w:t>
      </w:r>
      <w:r w:rsidR="00BD512A">
        <w:rPr>
          <w:rFonts w:ascii="Tahoma" w:hAnsi="Tahoma" w:cs="Tahoma"/>
        </w:rPr>
        <w:t xml:space="preserve"> </w:t>
      </w:r>
      <w:r w:rsidR="00E65B93">
        <w:rPr>
          <w:rFonts w:ascii="Tahoma" w:hAnsi="Tahoma" w:cs="Tahoma"/>
        </w:rPr>
        <w:t xml:space="preserve">un contexte haussier </w:t>
      </w:r>
      <w:r w:rsidR="008520DB">
        <w:rPr>
          <w:rFonts w:ascii="Tahoma" w:hAnsi="Tahoma" w:cs="Tahoma"/>
        </w:rPr>
        <w:t>de</w:t>
      </w:r>
      <w:r w:rsidR="00E65B93">
        <w:rPr>
          <w:rFonts w:ascii="Tahoma" w:hAnsi="Tahoma" w:cs="Tahoma"/>
        </w:rPr>
        <w:t xml:space="preserve"> long terme. L’environnement</w:t>
      </w:r>
      <w:r w:rsidR="00BD512A">
        <w:rPr>
          <w:rFonts w:ascii="Tahoma" w:hAnsi="Tahoma" w:cs="Tahoma"/>
        </w:rPr>
        <w:t xml:space="preserve"> restera </w:t>
      </w:r>
      <w:r w:rsidR="008520DB">
        <w:rPr>
          <w:rFonts w:ascii="Tahoma" w:hAnsi="Tahoma" w:cs="Tahoma"/>
        </w:rPr>
        <w:t>favorable à la hausse</w:t>
      </w:r>
      <w:r w:rsidR="00BD512A">
        <w:rPr>
          <w:rFonts w:ascii="Tahoma" w:hAnsi="Tahoma" w:cs="Tahoma"/>
        </w:rPr>
        <w:t xml:space="preserve"> tant que le marché se maintiendra </w:t>
      </w:r>
      <w:r w:rsidR="004F7DB1">
        <w:rPr>
          <w:rFonts w:ascii="Tahoma" w:hAnsi="Tahoma" w:cs="Tahoma"/>
        </w:rPr>
        <w:t>au-dessus</w:t>
      </w:r>
      <w:r w:rsidR="00BD512A">
        <w:rPr>
          <w:rFonts w:ascii="Tahoma" w:hAnsi="Tahoma" w:cs="Tahoma"/>
        </w:rPr>
        <w:t xml:space="preserve"> de 2.</w:t>
      </w:r>
      <w:r w:rsidR="00A6071B">
        <w:rPr>
          <w:rFonts w:ascii="Tahoma" w:hAnsi="Tahoma" w:cs="Tahoma"/>
        </w:rPr>
        <w:t>69. Une rupture ne changera pas ce cadre</w:t>
      </w:r>
      <w:r w:rsidR="00BD512A">
        <w:rPr>
          <w:rFonts w:ascii="Tahoma" w:hAnsi="Tahoma" w:cs="Tahoma"/>
        </w:rPr>
        <w:t xml:space="preserve"> mais traduira un certain affaiblissement</w:t>
      </w:r>
      <w:r w:rsidR="00DB1FD1">
        <w:rPr>
          <w:rFonts w:ascii="Tahoma" w:hAnsi="Tahoma" w:cs="Tahoma"/>
        </w:rPr>
        <w:t xml:space="preserve"> de l’environnement haussier</w:t>
      </w:r>
      <w:r w:rsidR="00BD512A">
        <w:rPr>
          <w:rFonts w:ascii="Tahoma" w:hAnsi="Tahoma" w:cs="Tahoma"/>
        </w:rPr>
        <w:t xml:space="preserve">. </w:t>
      </w:r>
      <w:r w:rsidR="004F7DB1">
        <w:rPr>
          <w:rFonts w:ascii="Tahoma" w:hAnsi="Tahoma" w:cs="Tahoma"/>
        </w:rPr>
        <w:t>Au-dessus</w:t>
      </w:r>
      <w:r w:rsidR="007774E7">
        <w:rPr>
          <w:rFonts w:ascii="Tahoma" w:hAnsi="Tahoma" w:cs="Tahoma"/>
        </w:rPr>
        <w:t xml:space="preserve"> de 2.69, l’objectif se situe sur 3.67 et représente un plat de nuage passé.</w:t>
      </w:r>
    </w:p>
    <w:p w:rsidR="00D8157E" w:rsidRDefault="00D8157E" w:rsidP="00D2583B">
      <w:pPr>
        <w:tabs>
          <w:tab w:val="left" w:pos="5868"/>
        </w:tabs>
        <w:autoSpaceDE w:val="0"/>
        <w:jc w:val="both"/>
        <w:rPr>
          <w:rFonts w:ascii="Tahoma" w:hAnsi="Tahoma" w:cs="Tahoma"/>
        </w:rPr>
      </w:pPr>
    </w:p>
    <w:p w:rsidR="001259C9" w:rsidRDefault="00D2583B" w:rsidP="008668F5">
      <w:pPr>
        <w:jc w:val="both"/>
        <w:rPr>
          <w:rFonts w:ascii="Tahoma" w:hAnsi="Tahoma" w:cs="Tahoma"/>
        </w:rPr>
      </w:pPr>
      <w:bookmarkStart w:id="1" w:name="_Hlk510791573"/>
      <w:r w:rsidRPr="00F950A8">
        <w:rPr>
          <w:rFonts w:ascii="Arial" w:hAnsi="Arial" w:cs="Arial"/>
          <w:b/>
          <w:bCs/>
        </w:rPr>
        <w:t xml:space="preserve">W : </w:t>
      </w:r>
      <w:r w:rsidR="00814FAE">
        <w:rPr>
          <w:rFonts w:ascii="Tahoma" w:hAnsi="Tahoma" w:cs="Tahoma"/>
        </w:rPr>
        <w:t xml:space="preserve">Sur le moyen terme, l’environnement est haussier. La KS sert de support sur 2.79 et le plat de TS de pivot sur 2.94. </w:t>
      </w:r>
      <w:r w:rsidR="008520DB">
        <w:rPr>
          <w:rFonts w:ascii="Tahoma" w:hAnsi="Tahoma" w:cs="Tahoma"/>
        </w:rPr>
        <w:t>L</w:t>
      </w:r>
      <w:r w:rsidR="00814FAE">
        <w:rPr>
          <w:rFonts w:ascii="Tahoma" w:hAnsi="Tahoma" w:cs="Tahoma"/>
        </w:rPr>
        <w:t>e 10 ans peut évoluer sans tendance autour de sa TS. Le bas récent de 2.75 servira de support et de haut de 3.12 de résistance.</w:t>
      </w:r>
    </w:p>
    <w:p w:rsidR="008668F5" w:rsidRPr="004D2E5B" w:rsidRDefault="008668F5" w:rsidP="008668F5">
      <w:pPr>
        <w:jc w:val="both"/>
        <w:rPr>
          <w:rFonts w:ascii="Tahoma" w:hAnsi="Tahoma" w:cs="Tahoma"/>
        </w:rPr>
      </w:pPr>
    </w:p>
    <w:p w:rsidR="00385E03" w:rsidRPr="004D2E5B" w:rsidRDefault="00CF7FF8" w:rsidP="008668F5">
      <w:pPr>
        <w:jc w:val="both"/>
        <w:rPr>
          <w:rFonts w:ascii="Tahoma" w:hAnsi="Tahoma" w:cs="Tahoma"/>
        </w:rPr>
      </w:pPr>
      <w:r w:rsidRPr="00F950A8">
        <w:rPr>
          <w:rFonts w:ascii="Arial" w:hAnsi="Arial" w:cs="Arial"/>
          <w:b/>
          <w:bCs/>
        </w:rPr>
        <w:t xml:space="preserve">D : </w:t>
      </w:r>
      <w:r w:rsidR="004D2E5B">
        <w:rPr>
          <w:rFonts w:ascii="Tahoma" w:hAnsi="Tahoma" w:cs="Tahoma"/>
        </w:rPr>
        <w:t>L</w:t>
      </w:r>
      <w:r w:rsidR="008520DB">
        <w:rPr>
          <w:rFonts w:ascii="Tahoma" w:hAnsi="Tahoma" w:cs="Tahoma"/>
        </w:rPr>
        <w:t>e</w:t>
      </w:r>
      <w:r w:rsidR="00C53106">
        <w:rPr>
          <w:rFonts w:ascii="Tahoma" w:hAnsi="Tahoma" w:cs="Tahoma"/>
        </w:rPr>
        <w:t xml:space="preserve"> </w:t>
      </w:r>
      <w:r w:rsidR="006E6B6F">
        <w:rPr>
          <w:rFonts w:ascii="Tahoma" w:hAnsi="Tahoma" w:cs="Tahoma"/>
        </w:rPr>
        <w:t xml:space="preserve">court terme évolue au sein d’une dérive latérale dont la zone d’équilibre reprend le point de 2.94. Ce canal horizontal cadre le marché entre 2.75 et 3.12. </w:t>
      </w:r>
      <w:r w:rsidR="00352DAA">
        <w:rPr>
          <w:rFonts w:ascii="Tahoma" w:hAnsi="Tahoma" w:cs="Tahoma"/>
        </w:rPr>
        <w:t xml:space="preserve">Une </w:t>
      </w:r>
      <w:r w:rsidR="002A3328">
        <w:rPr>
          <w:rFonts w:ascii="Tahoma" w:hAnsi="Tahoma" w:cs="Tahoma"/>
        </w:rPr>
        <w:t>clôture</w:t>
      </w:r>
      <w:r w:rsidR="00352DAA">
        <w:rPr>
          <w:rFonts w:ascii="Tahoma" w:hAnsi="Tahoma" w:cs="Tahoma"/>
        </w:rPr>
        <w:t xml:space="preserve"> hors de la zone de consolidation sera </w:t>
      </w:r>
      <w:r w:rsidR="002A3328">
        <w:rPr>
          <w:rFonts w:ascii="Tahoma" w:hAnsi="Tahoma" w:cs="Tahoma"/>
        </w:rPr>
        <w:t>nécessaire</w:t>
      </w:r>
      <w:r w:rsidR="00352DAA">
        <w:rPr>
          <w:rFonts w:ascii="Tahoma" w:hAnsi="Tahoma" w:cs="Tahoma"/>
        </w:rPr>
        <w:t xml:space="preserve"> pour envisager un retour du directionnel.</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C8169C" w:rsidRDefault="00F72829" w:rsidP="00C8169C">
      <w:pPr>
        <w:jc w:val="both"/>
        <w:rPr>
          <w:rFonts w:ascii="Arial" w:hAnsi="Arial" w:cs="Arial"/>
          <w:b/>
          <w:color w:val="00B0F0"/>
        </w:rPr>
      </w:pPr>
      <w:r w:rsidRPr="00542341">
        <w:rPr>
          <w:rFonts w:ascii="Arial" w:hAnsi="Arial" w:cs="Arial"/>
          <w:b/>
          <w:color w:val="00B0F0"/>
          <w:u w:val="single"/>
        </w:rPr>
        <w:t>HEBDOMADAIRE</w:t>
      </w:r>
      <w:r w:rsidRPr="00542341">
        <w:rPr>
          <w:rFonts w:ascii="Arial" w:hAnsi="Arial" w:cs="Arial"/>
          <w:b/>
          <w:color w:val="00B0F0"/>
        </w:rPr>
        <w:t xml:space="preserve"> : </w:t>
      </w:r>
      <w:r w:rsidR="00542341" w:rsidRPr="00542341">
        <w:rPr>
          <w:rFonts w:ascii="Arial" w:hAnsi="Arial" w:cs="Arial"/>
          <w:b/>
          <w:color w:val="00B0F0"/>
        </w:rPr>
        <w:t>Contexte favorable à l</w:t>
      </w:r>
      <w:r w:rsidR="00542341">
        <w:rPr>
          <w:rFonts w:ascii="Arial" w:hAnsi="Arial" w:cs="Arial"/>
          <w:b/>
          <w:color w:val="00B0F0"/>
        </w:rPr>
        <w:t xml:space="preserve">a poursuite de la hausse </w:t>
      </w:r>
      <w:r w:rsidR="002A3328">
        <w:rPr>
          <w:rFonts w:ascii="Arial" w:hAnsi="Arial" w:cs="Arial"/>
          <w:b/>
          <w:color w:val="00B0F0"/>
        </w:rPr>
        <w:t>au-dessus</w:t>
      </w:r>
      <w:r w:rsidR="00542341">
        <w:rPr>
          <w:rFonts w:ascii="Arial" w:hAnsi="Arial" w:cs="Arial"/>
          <w:b/>
          <w:color w:val="00B0F0"/>
        </w:rPr>
        <w:t xml:space="preserve"> de 2.69. Le marché consolide sur le court terme entre 2.75 et 3.12. 2.94 représente la zone d’équilibre de la dérive latérale.</w:t>
      </w:r>
    </w:p>
    <w:p w:rsidR="00542341" w:rsidRDefault="00542341" w:rsidP="00C8169C">
      <w:pPr>
        <w:jc w:val="both"/>
        <w:rPr>
          <w:rFonts w:ascii="Arial" w:hAnsi="Arial" w:cs="Arial"/>
          <w:b/>
          <w:color w:val="00B0F0"/>
        </w:rPr>
      </w:pPr>
    </w:p>
    <w:p w:rsidR="00542341" w:rsidRPr="00542341" w:rsidRDefault="00542341" w:rsidP="00C8169C">
      <w:pPr>
        <w:jc w:val="both"/>
        <w:rPr>
          <w:rFonts w:ascii="Arial" w:hAnsi="Arial" w:cs="Arial"/>
          <w:b/>
          <w:color w:val="00B0F0"/>
        </w:rPr>
      </w:pPr>
    </w:p>
    <w:p w:rsidR="004A2834" w:rsidRDefault="004A2834" w:rsidP="00C8169C">
      <w:pPr>
        <w:jc w:val="both"/>
        <w:rPr>
          <w:rFonts w:ascii="Arial" w:hAnsi="Arial" w:cs="Arial"/>
          <w:b/>
          <w:color w:val="00B0F0"/>
        </w:rPr>
      </w:pPr>
    </w:p>
    <w:p w:rsidR="00181729" w:rsidRDefault="00181729" w:rsidP="00C8169C">
      <w:pPr>
        <w:jc w:val="both"/>
        <w:rPr>
          <w:rFonts w:ascii="Arial" w:hAnsi="Arial" w:cs="Arial"/>
          <w:b/>
          <w:color w:val="00B0F0"/>
        </w:rPr>
      </w:pPr>
    </w:p>
    <w:p w:rsidR="008A59F5" w:rsidRPr="00542341" w:rsidRDefault="008A59F5" w:rsidP="00C8169C">
      <w:pPr>
        <w:jc w:val="both"/>
        <w:rPr>
          <w:rFonts w:ascii="Arial" w:hAnsi="Arial" w:cs="Arial"/>
          <w:b/>
          <w:color w:val="00B0F0"/>
        </w:rPr>
      </w:pPr>
    </w:p>
    <w:p w:rsidR="00EB3109" w:rsidRPr="00A2655E" w:rsidRDefault="00D43DAB" w:rsidP="00D43DAB">
      <w:pPr>
        <w:jc w:val="both"/>
        <w:rPr>
          <w:rFonts w:ascii="Arial" w:hAnsi="Arial" w:cs="Arial"/>
          <w:b/>
          <w:bCs/>
          <w:sz w:val="36"/>
          <w:szCs w:val="36"/>
          <w:u w:val="single"/>
          <w:lang w:val="en-US"/>
        </w:rPr>
      </w:pPr>
      <w:r w:rsidRPr="00542341">
        <w:rPr>
          <w:rFonts w:ascii="Arial" w:hAnsi="Arial" w:cs="Arial"/>
          <w:b/>
          <w:bCs/>
          <w:sz w:val="36"/>
          <w:szCs w:val="36"/>
        </w:rPr>
        <w:t xml:space="preserve">     </w:t>
      </w:r>
      <w:r w:rsidR="00292AF0" w:rsidRPr="00542341">
        <w:rPr>
          <w:rFonts w:ascii="Arial" w:hAnsi="Arial" w:cs="Arial"/>
          <w:b/>
          <w:bCs/>
          <w:sz w:val="36"/>
          <w:szCs w:val="36"/>
        </w:rPr>
        <w:t xml:space="preserve">                       </w:t>
      </w:r>
      <w:r w:rsidRPr="00542341">
        <w:rPr>
          <w:rFonts w:ascii="Arial" w:hAnsi="Arial" w:cs="Arial"/>
          <w:b/>
          <w:bCs/>
          <w:sz w:val="36"/>
          <w:szCs w:val="36"/>
        </w:rPr>
        <w:t xml:space="preserve"> </w:t>
      </w:r>
      <w:r w:rsidRPr="00A2655E">
        <w:rPr>
          <w:rFonts w:ascii="Arial" w:hAnsi="Arial" w:cs="Arial"/>
          <w:b/>
          <w:bCs/>
          <w:sz w:val="36"/>
          <w:szCs w:val="36"/>
          <w:u w:val="single"/>
          <w:lang w:val="en-US"/>
        </w:rPr>
        <w:t xml:space="preserve">10 ans UK </w:t>
      </w:r>
    </w:p>
    <w:p w:rsidR="006E6472" w:rsidRPr="00A2655E" w:rsidRDefault="006E6472" w:rsidP="006E6472">
      <w:pPr>
        <w:jc w:val="both"/>
        <w:rPr>
          <w:rFonts w:ascii="Arial" w:hAnsi="Arial" w:cs="Arial"/>
          <w:b/>
          <w:sz w:val="28"/>
          <w:szCs w:val="28"/>
          <w:u w:val="single"/>
          <w:lang w:val="en-US"/>
        </w:rPr>
      </w:pPr>
      <w:r w:rsidRPr="00A2655E">
        <w:rPr>
          <w:rFonts w:ascii="Arial" w:hAnsi="Arial" w:cs="Arial"/>
          <w:b/>
          <w:sz w:val="28"/>
          <w:szCs w:val="28"/>
          <w:u w:val="single"/>
          <w:lang w:val="en-US"/>
        </w:rPr>
        <w:lastRenderedPageBreak/>
        <w:t>Monthly</w:t>
      </w:r>
    </w:p>
    <w:p w:rsidR="005B5283" w:rsidRPr="00A2655E" w:rsidRDefault="005B5283" w:rsidP="005B5283">
      <w:pPr>
        <w:ind w:left="-283"/>
        <w:jc w:val="both"/>
        <w:rPr>
          <w:rFonts w:ascii="Arial" w:hAnsi="Arial" w:cs="Arial"/>
          <w:b/>
          <w:bCs/>
          <w:lang w:val="en-US"/>
        </w:rPr>
      </w:pPr>
      <w:r>
        <w:rPr>
          <w:rFonts w:ascii="Arial" w:hAnsi="Arial" w:cs="Arial"/>
          <w:b/>
          <w:bCs/>
          <w:noProof/>
        </w:rPr>
        <w:drawing>
          <wp:inline distT="0" distB="0" distL="0" distR="0">
            <wp:extent cx="6645606" cy="4174672"/>
            <wp:effectExtent l="0" t="0" r="3175" b="0"/>
            <wp:docPr id="2" name="Image 2" descr="C:\Temp\Bloomberg\temp\bfmC5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C513.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3279" cy="4179492"/>
                    </a:xfrm>
                    <a:prstGeom prst="rect">
                      <a:avLst/>
                    </a:prstGeom>
                    <a:noFill/>
                    <a:ln>
                      <a:noFill/>
                    </a:ln>
                  </pic:spPr>
                </pic:pic>
              </a:graphicData>
            </a:graphic>
          </wp:inline>
        </w:drawing>
      </w:r>
    </w:p>
    <w:p w:rsidR="00D43DAB" w:rsidRPr="00A2655E" w:rsidRDefault="00D43DAB" w:rsidP="00D43DAB">
      <w:pPr>
        <w:jc w:val="both"/>
        <w:rPr>
          <w:rFonts w:ascii="Arial" w:hAnsi="Arial" w:cs="Arial"/>
          <w:b/>
          <w:bCs/>
          <w:sz w:val="28"/>
          <w:szCs w:val="28"/>
          <w:u w:val="single"/>
          <w:lang w:val="en-US"/>
        </w:rPr>
      </w:pPr>
      <w:r w:rsidRPr="00A2655E">
        <w:rPr>
          <w:rFonts w:ascii="Arial" w:hAnsi="Arial" w:cs="Arial"/>
          <w:b/>
          <w:bCs/>
          <w:sz w:val="28"/>
          <w:szCs w:val="28"/>
          <w:u w:val="single"/>
          <w:lang w:val="en-US"/>
        </w:rPr>
        <w:t>Weekly</w:t>
      </w:r>
    </w:p>
    <w:p w:rsidR="00D43DAB" w:rsidRPr="00A2655E" w:rsidRDefault="005B5283" w:rsidP="00B65AF1">
      <w:pPr>
        <w:tabs>
          <w:tab w:val="left" w:pos="4395"/>
        </w:tabs>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4927" cy="4272643"/>
            <wp:effectExtent l="0" t="0" r="3810" b="0"/>
            <wp:docPr id="4" name="Image 4" descr="C:\Temp\Bloomberg\temp\bfm259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259B.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54681" cy="4278915"/>
                    </a:xfrm>
                    <a:prstGeom prst="rect">
                      <a:avLst/>
                    </a:prstGeom>
                    <a:noFill/>
                    <a:ln>
                      <a:noFill/>
                    </a:ln>
                  </pic:spPr>
                </pic:pic>
              </a:graphicData>
            </a:graphic>
          </wp:inline>
        </w:drawing>
      </w:r>
    </w:p>
    <w:p w:rsidR="00DC46D8" w:rsidRPr="00C97875" w:rsidRDefault="00DC46D8" w:rsidP="006E6472">
      <w:pPr>
        <w:jc w:val="both"/>
        <w:rPr>
          <w:rFonts w:ascii="Arial" w:hAnsi="Arial" w:cs="Arial"/>
          <w:b/>
          <w:bCs/>
          <w:sz w:val="28"/>
          <w:szCs w:val="28"/>
          <w:u w:val="single"/>
          <w:lang w:val="en-US"/>
        </w:rPr>
      </w:pPr>
      <w:r w:rsidRPr="00C97875">
        <w:rPr>
          <w:rFonts w:ascii="Arial" w:hAnsi="Arial" w:cs="Arial"/>
          <w:b/>
          <w:bCs/>
          <w:sz w:val="28"/>
          <w:szCs w:val="28"/>
          <w:u w:val="single"/>
          <w:lang w:val="en-US"/>
        </w:rPr>
        <w:t xml:space="preserve">Daily </w:t>
      </w:r>
    </w:p>
    <w:p w:rsidR="00DC46D8" w:rsidRPr="005B5283" w:rsidRDefault="005B5283" w:rsidP="006E6472">
      <w:pPr>
        <w:jc w:val="both"/>
        <w:rPr>
          <w:rFonts w:ascii="Arial" w:hAnsi="Arial" w:cs="Arial"/>
          <w:b/>
          <w:bCs/>
          <w:sz w:val="28"/>
          <w:szCs w:val="28"/>
          <w:u w:val="single"/>
        </w:rPr>
      </w:pPr>
      <w:r>
        <w:rPr>
          <w:rFonts w:ascii="Arial" w:hAnsi="Arial" w:cs="Arial"/>
          <w:b/>
          <w:bCs/>
          <w:noProof/>
          <w:sz w:val="28"/>
          <w:szCs w:val="28"/>
          <w:u w:val="single"/>
        </w:rPr>
        <w:lastRenderedPageBreak/>
        <w:drawing>
          <wp:inline distT="0" distB="0" distL="0" distR="0">
            <wp:extent cx="6645606" cy="4425043"/>
            <wp:effectExtent l="0" t="0" r="3175" b="0"/>
            <wp:docPr id="11" name="Image 11" descr="C:\Temp\Bloomberg\temp\bfm75D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75DD.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54816" cy="4431176"/>
                    </a:xfrm>
                    <a:prstGeom prst="rect">
                      <a:avLst/>
                    </a:prstGeom>
                    <a:noFill/>
                    <a:ln>
                      <a:noFill/>
                    </a:ln>
                  </pic:spPr>
                </pic:pic>
              </a:graphicData>
            </a:graphic>
          </wp:inline>
        </w:drawing>
      </w:r>
    </w:p>
    <w:p w:rsidR="00DC46D8" w:rsidRPr="005B5283" w:rsidRDefault="00DC46D8" w:rsidP="006E6472">
      <w:pPr>
        <w:jc w:val="both"/>
        <w:rPr>
          <w:rFonts w:ascii="Arial" w:hAnsi="Arial" w:cs="Arial"/>
          <w:b/>
          <w:bCs/>
          <w:sz w:val="28"/>
          <w:szCs w:val="28"/>
          <w:u w:val="single"/>
        </w:rPr>
      </w:pPr>
    </w:p>
    <w:p w:rsidR="008668F5" w:rsidRDefault="005530C2" w:rsidP="00196168">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196168" w:rsidRPr="00094EB3">
        <w:rPr>
          <w:rFonts w:ascii="Tahoma" w:hAnsi="Tahoma" w:cs="Tahoma"/>
          <w:bCs/>
        </w:rPr>
        <w:t>L</w:t>
      </w:r>
      <w:r w:rsidR="001900F2" w:rsidRPr="00094EB3">
        <w:rPr>
          <w:rFonts w:ascii="Tahoma" w:hAnsi="Tahoma" w:cs="Tahoma"/>
          <w:bCs/>
        </w:rPr>
        <w:t xml:space="preserve">e </w:t>
      </w:r>
      <w:r w:rsidR="003B2136">
        <w:rPr>
          <w:rFonts w:ascii="Tahoma" w:hAnsi="Tahoma" w:cs="Tahoma"/>
          <w:bCs/>
        </w:rPr>
        <w:t>contexte de long terme est baissier.</w:t>
      </w:r>
      <w:r w:rsidR="008668F5">
        <w:rPr>
          <w:rFonts w:ascii="Tahoma" w:hAnsi="Tahoma" w:cs="Tahoma"/>
          <w:bCs/>
        </w:rPr>
        <w:t xml:space="preserve"> Le nuage futur qui n’a plus de direction nous indique que le marché n’est plus en tendance. Cette vue est renforcée par la TS et la KS qui resteront plate</w:t>
      </w:r>
      <w:r w:rsidR="00181729">
        <w:rPr>
          <w:rFonts w:ascii="Tahoma" w:hAnsi="Tahoma" w:cs="Tahoma"/>
          <w:bCs/>
        </w:rPr>
        <w:t>s</w:t>
      </w:r>
      <w:r w:rsidR="008668F5">
        <w:rPr>
          <w:rFonts w:ascii="Tahoma" w:hAnsi="Tahoma" w:cs="Tahoma"/>
          <w:bCs/>
        </w:rPr>
        <w:t xml:space="preserve"> sur respectivement 1.40 et 1.09.</w:t>
      </w:r>
    </w:p>
    <w:p w:rsidR="008668F5" w:rsidRDefault="008668F5" w:rsidP="00196168">
      <w:pPr>
        <w:jc w:val="both"/>
        <w:rPr>
          <w:rFonts w:ascii="Tahoma" w:hAnsi="Tahoma" w:cs="Tahoma"/>
          <w:bCs/>
        </w:rPr>
      </w:pPr>
      <w:r>
        <w:rPr>
          <w:rFonts w:ascii="Tahoma" w:hAnsi="Tahoma" w:cs="Tahoma"/>
          <w:bCs/>
        </w:rPr>
        <w:t xml:space="preserve">Le maintien du marché sous la TS de 1.40 avantage </w:t>
      </w:r>
      <w:r w:rsidR="00DD6CE7">
        <w:rPr>
          <w:rFonts w:ascii="Tahoma" w:hAnsi="Tahoma" w:cs="Tahoma"/>
          <w:bCs/>
        </w:rPr>
        <w:t>le retour sur le plat de KS de 1.09.</w:t>
      </w:r>
    </w:p>
    <w:p w:rsidR="00332645" w:rsidRPr="00B52897" w:rsidRDefault="00332645" w:rsidP="001B1B61">
      <w:pPr>
        <w:jc w:val="both"/>
        <w:rPr>
          <w:rFonts w:ascii="Tahoma" w:hAnsi="Tahoma" w:cs="Tahoma"/>
          <w:bCs/>
        </w:rPr>
      </w:pPr>
    </w:p>
    <w:p w:rsidR="00AF7F1E" w:rsidRDefault="00134724" w:rsidP="00FD5E11">
      <w:pPr>
        <w:jc w:val="both"/>
        <w:rPr>
          <w:rFonts w:ascii="Tahoma" w:hAnsi="Tahoma" w:cs="Tahoma"/>
          <w:bCs/>
        </w:rPr>
      </w:pPr>
      <w:r w:rsidRPr="00F950A8">
        <w:rPr>
          <w:rFonts w:ascii="Arial" w:hAnsi="Arial" w:cs="Arial"/>
          <w:b/>
          <w:bCs/>
        </w:rPr>
        <w:t xml:space="preserve">W : </w:t>
      </w:r>
      <w:r w:rsidR="004337C8" w:rsidRPr="004B449F">
        <w:rPr>
          <w:rFonts w:ascii="Tahoma" w:hAnsi="Tahoma" w:cs="Tahoma"/>
          <w:bCs/>
        </w:rPr>
        <w:t>L</w:t>
      </w:r>
      <w:r w:rsidR="00DD6CE7">
        <w:rPr>
          <w:rFonts w:ascii="Tahoma" w:hAnsi="Tahoma" w:cs="Tahoma"/>
          <w:bCs/>
        </w:rPr>
        <w:t>a baisse s’est prolongée et le taux est revenu sur son support de 1.23 matérialisé par un plat de nuage. Ce support est relativement faible parce qu’il n’a pas d’épaisseur.</w:t>
      </w:r>
      <w:r w:rsidR="00D76CEB">
        <w:rPr>
          <w:rFonts w:ascii="Tahoma" w:hAnsi="Tahoma" w:cs="Tahoma"/>
          <w:bCs/>
        </w:rPr>
        <w:t xml:space="preserve"> En cassure, le 10 ans devra dépasser 1.17 pour envisager un retour sur le bas récent de 1.10.</w:t>
      </w:r>
    </w:p>
    <w:p w:rsidR="00EF0FC9" w:rsidRDefault="00EF0FC9" w:rsidP="00FD5E11">
      <w:pPr>
        <w:jc w:val="both"/>
        <w:rPr>
          <w:rFonts w:ascii="Tahoma" w:hAnsi="Tahoma" w:cs="Tahoma"/>
          <w:bCs/>
        </w:rPr>
      </w:pPr>
      <w:r>
        <w:rPr>
          <w:rFonts w:ascii="Tahoma" w:hAnsi="Tahoma" w:cs="Tahoma"/>
          <w:bCs/>
        </w:rPr>
        <w:t>L’absence de dynamique de mouvement, visible à travers de nombreux plats</w:t>
      </w:r>
      <w:r w:rsidR="00181729">
        <w:rPr>
          <w:rFonts w:ascii="Tahoma" w:hAnsi="Tahoma" w:cs="Tahoma"/>
          <w:bCs/>
        </w:rPr>
        <w:t>,</w:t>
      </w:r>
      <w:r>
        <w:rPr>
          <w:rFonts w:ascii="Tahoma" w:hAnsi="Tahoma" w:cs="Tahoma"/>
          <w:bCs/>
        </w:rPr>
        <w:t xml:space="preserve"> renforcera l’impact des supports. Dans ce contexte, en rupture de 1.23, le bas de 1.10 à peu de chance d’être dépassé.</w:t>
      </w:r>
    </w:p>
    <w:p w:rsidR="00592CE7" w:rsidRPr="00E6336C" w:rsidRDefault="00592CE7" w:rsidP="00134724">
      <w:pPr>
        <w:jc w:val="both"/>
        <w:rPr>
          <w:rFonts w:ascii="Tahoma" w:hAnsi="Tahoma" w:cs="Tahoma"/>
          <w:bCs/>
        </w:rPr>
      </w:pPr>
    </w:p>
    <w:p w:rsidR="00CB7366" w:rsidRDefault="00134724" w:rsidP="008668F5">
      <w:pPr>
        <w:jc w:val="both"/>
        <w:rPr>
          <w:rFonts w:ascii="Tahoma" w:hAnsi="Tahoma" w:cs="Tahoma"/>
          <w:bCs/>
        </w:rPr>
      </w:pPr>
      <w:r w:rsidRPr="00F950A8">
        <w:rPr>
          <w:rFonts w:ascii="Arial" w:hAnsi="Arial" w:cs="Arial"/>
          <w:b/>
          <w:bCs/>
        </w:rPr>
        <w:t xml:space="preserve">D : </w:t>
      </w:r>
      <w:r w:rsidR="006F48CB">
        <w:rPr>
          <w:rFonts w:ascii="Tahoma" w:hAnsi="Tahoma" w:cs="Tahoma"/>
          <w:bCs/>
        </w:rPr>
        <w:t xml:space="preserve">Sur </w:t>
      </w:r>
      <w:r w:rsidR="0097003B">
        <w:rPr>
          <w:rFonts w:ascii="Tahoma" w:hAnsi="Tahoma" w:cs="Tahoma"/>
          <w:bCs/>
        </w:rPr>
        <w:t xml:space="preserve">court terme, la hausse ne pourra être envisagée tant que le 10 ans se maintiendra sous le plat de KS </w:t>
      </w:r>
      <w:r w:rsidR="00181729">
        <w:rPr>
          <w:rFonts w:ascii="Tahoma" w:hAnsi="Tahoma" w:cs="Tahoma"/>
          <w:bCs/>
        </w:rPr>
        <w:t xml:space="preserve">passée </w:t>
      </w:r>
      <w:r w:rsidR="0097003B">
        <w:rPr>
          <w:rFonts w:ascii="Tahoma" w:hAnsi="Tahoma" w:cs="Tahoma"/>
          <w:bCs/>
        </w:rPr>
        <w:t>et de SSB de 1.34.</w:t>
      </w:r>
    </w:p>
    <w:p w:rsidR="0097003B" w:rsidRDefault="0097003B" w:rsidP="008668F5">
      <w:pPr>
        <w:jc w:val="both"/>
        <w:rPr>
          <w:rFonts w:ascii="Tahoma" w:hAnsi="Tahoma" w:cs="Tahoma"/>
          <w:bCs/>
        </w:rPr>
      </w:pPr>
      <w:r>
        <w:rPr>
          <w:rFonts w:ascii="Tahoma" w:hAnsi="Tahoma" w:cs="Tahoma"/>
          <w:bCs/>
        </w:rPr>
        <w:t xml:space="preserve">Entre 1.10 et 1.44, la KS va s’aplatir sur 1.27 et dessinera un point d’équilibre de court terme. </w:t>
      </w:r>
      <w:r w:rsidR="002A3328">
        <w:rPr>
          <w:rFonts w:ascii="Tahoma" w:hAnsi="Tahoma" w:cs="Tahoma"/>
          <w:bCs/>
        </w:rPr>
        <w:t>Au-dessus</w:t>
      </w:r>
      <w:r w:rsidR="00DC46D8">
        <w:rPr>
          <w:rFonts w:ascii="Tahoma" w:hAnsi="Tahoma" w:cs="Tahoma"/>
          <w:bCs/>
        </w:rPr>
        <w:t xml:space="preserve"> de 1.27, le point de 1.34 restera une zone d’attraction pour la semaine à venir. </w:t>
      </w:r>
    </w:p>
    <w:p w:rsidR="00181729" w:rsidRDefault="00181729" w:rsidP="008668F5">
      <w:pPr>
        <w:jc w:val="both"/>
        <w:rPr>
          <w:rFonts w:ascii="Tahoma" w:hAnsi="Tahoma" w:cs="Tahoma"/>
          <w:bCs/>
        </w:rPr>
      </w:pPr>
    </w:p>
    <w:p w:rsidR="009435E0" w:rsidRPr="00C955D5" w:rsidRDefault="009435E0" w:rsidP="005530C2">
      <w:pPr>
        <w:jc w:val="both"/>
        <w:rPr>
          <w:rFonts w:ascii="Arial" w:hAnsi="Arial" w:cs="Arial"/>
          <w:color w:val="FF0000"/>
        </w:rPr>
      </w:pPr>
    </w:p>
    <w:p w:rsidR="004A2834" w:rsidRDefault="005530C2" w:rsidP="00BE257A">
      <w:pPr>
        <w:jc w:val="both"/>
        <w:rPr>
          <w:rFonts w:ascii="Arial" w:hAnsi="Arial" w:cs="Arial"/>
          <w:b/>
          <w:color w:val="00B0F0"/>
        </w:rPr>
      </w:pPr>
      <w:r w:rsidRPr="00141F36">
        <w:rPr>
          <w:rFonts w:ascii="Arial" w:hAnsi="Arial" w:cs="Arial"/>
          <w:b/>
          <w:color w:val="00B0F0"/>
          <w:u w:val="single"/>
        </w:rPr>
        <w:t>HEBDOMADAIRE</w:t>
      </w:r>
      <w:r w:rsidRPr="00141F36">
        <w:rPr>
          <w:rFonts w:ascii="Arial" w:hAnsi="Arial" w:cs="Arial"/>
          <w:b/>
          <w:color w:val="00B0F0"/>
        </w:rPr>
        <w:t xml:space="preserve"> : </w:t>
      </w:r>
      <w:r w:rsidR="000A5ED9">
        <w:rPr>
          <w:rFonts w:ascii="Arial" w:hAnsi="Arial" w:cs="Arial"/>
          <w:b/>
          <w:color w:val="00B0F0"/>
        </w:rPr>
        <w:t xml:space="preserve">Sous </w:t>
      </w:r>
      <w:r w:rsidR="00CB7366" w:rsidRPr="00141F36">
        <w:rPr>
          <w:rFonts w:ascii="Arial" w:hAnsi="Arial" w:cs="Arial"/>
          <w:b/>
          <w:color w:val="00B0F0"/>
        </w:rPr>
        <w:t>1.40</w:t>
      </w:r>
      <w:r w:rsidR="00181729">
        <w:rPr>
          <w:rFonts w:ascii="Arial" w:hAnsi="Arial" w:cs="Arial"/>
          <w:b/>
          <w:color w:val="00B0F0"/>
        </w:rPr>
        <w:t>,</w:t>
      </w:r>
      <w:r w:rsidR="000A5ED9">
        <w:rPr>
          <w:rFonts w:ascii="Arial" w:hAnsi="Arial" w:cs="Arial"/>
          <w:b/>
          <w:color w:val="00B0F0"/>
        </w:rPr>
        <w:t xml:space="preserve"> le 10 ans UK s’orientera </w:t>
      </w:r>
      <w:r w:rsidR="00181729">
        <w:rPr>
          <w:rFonts w:ascii="Arial" w:hAnsi="Arial" w:cs="Arial"/>
          <w:b/>
          <w:color w:val="00B0F0"/>
        </w:rPr>
        <w:t xml:space="preserve">sur </w:t>
      </w:r>
      <w:r w:rsidR="000A5ED9">
        <w:rPr>
          <w:rFonts w:ascii="Arial" w:hAnsi="Arial" w:cs="Arial"/>
          <w:b/>
          <w:color w:val="00B0F0"/>
        </w:rPr>
        <w:t xml:space="preserve">le bas récent de 1.10. Il trouvera en support intermédiaire le point de 1.23. Le biais sera favorable à la baisse sous 1.27. Un retour du marché </w:t>
      </w:r>
      <w:r w:rsidR="002A3328">
        <w:rPr>
          <w:rFonts w:ascii="Arial" w:hAnsi="Arial" w:cs="Arial"/>
          <w:b/>
          <w:color w:val="00B0F0"/>
        </w:rPr>
        <w:t>au-dessus</w:t>
      </w:r>
      <w:r w:rsidR="000A5ED9">
        <w:rPr>
          <w:rFonts w:ascii="Arial" w:hAnsi="Arial" w:cs="Arial"/>
          <w:b/>
          <w:color w:val="00B0F0"/>
        </w:rPr>
        <w:t xml:space="preserve"> de 1.34 permettra d’envisager un</w:t>
      </w:r>
      <w:r w:rsidR="00323815">
        <w:rPr>
          <w:rFonts w:ascii="Arial" w:hAnsi="Arial" w:cs="Arial"/>
          <w:b/>
          <w:color w:val="00B0F0"/>
        </w:rPr>
        <w:t xml:space="preserve"> retour du taux dans la zone de 1.40-1.44.</w:t>
      </w:r>
      <w:r w:rsidR="000A5ED9">
        <w:rPr>
          <w:rFonts w:ascii="Arial" w:hAnsi="Arial" w:cs="Arial"/>
          <w:b/>
          <w:color w:val="00B0F0"/>
        </w:rPr>
        <w:t xml:space="preserve"> </w:t>
      </w:r>
      <w:r w:rsidR="00CB7366" w:rsidRPr="00141F36">
        <w:rPr>
          <w:rFonts w:ascii="Arial" w:hAnsi="Arial" w:cs="Arial"/>
          <w:b/>
          <w:color w:val="00B0F0"/>
        </w:rPr>
        <w:t xml:space="preserve"> </w:t>
      </w:r>
    </w:p>
    <w:p w:rsidR="004A2834" w:rsidRDefault="004A2834" w:rsidP="00BE257A">
      <w:pPr>
        <w:jc w:val="both"/>
        <w:rPr>
          <w:rFonts w:ascii="Arial" w:hAnsi="Arial" w:cs="Arial"/>
          <w:b/>
          <w:color w:val="00B0F0"/>
        </w:rPr>
      </w:pPr>
    </w:p>
    <w:p w:rsidR="007A504D" w:rsidRDefault="007A504D" w:rsidP="00BE257A">
      <w:pPr>
        <w:jc w:val="both"/>
        <w:rPr>
          <w:rFonts w:ascii="Arial" w:hAnsi="Arial" w:cs="Arial"/>
          <w:b/>
          <w:color w:val="00B0F0"/>
        </w:rPr>
      </w:pPr>
    </w:p>
    <w:p w:rsidR="00181729" w:rsidRDefault="00181729" w:rsidP="00BE257A">
      <w:pPr>
        <w:jc w:val="both"/>
        <w:rPr>
          <w:rFonts w:ascii="Arial" w:hAnsi="Arial" w:cs="Arial"/>
          <w:b/>
          <w:color w:val="00B0F0"/>
        </w:rPr>
      </w:pPr>
    </w:p>
    <w:p w:rsidR="00DC295E" w:rsidRPr="00AD7F6F" w:rsidRDefault="00F72829" w:rsidP="001C6641">
      <w:pPr>
        <w:jc w:val="both"/>
        <w:rPr>
          <w:rFonts w:ascii="Arial" w:eastAsia="Calibri" w:hAnsi="Arial" w:cs="Arial"/>
          <w:b/>
        </w:rPr>
      </w:pPr>
      <w:r w:rsidRPr="00A31477">
        <w:rPr>
          <w:rFonts w:ascii="Arial" w:hAnsi="Arial" w:cs="Arial"/>
          <w:b/>
          <w:bCs/>
          <w:color w:val="FF0000"/>
          <w:sz w:val="28"/>
          <w:szCs w:val="28"/>
        </w:rPr>
        <w:lastRenderedPageBreak/>
        <w:t xml:space="preserve">                         </w:t>
      </w:r>
      <w:r w:rsidR="006D7DCD" w:rsidRPr="00A31477">
        <w:rPr>
          <w:rFonts w:ascii="Arial" w:hAnsi="Arial" w:cs="Arial"/>
          <w:b/>
          <w:bCs/>
          <w:color w:val="FF0000"/>
          <w:sz w:val="28"/>
          <w:szCs w:val="28"/>
        </w:rPr>
        <w:t xml:space="preserve">         </w:t>
      </w:r>
      <w:bookmarkStart w:id="2" w:name="_GoBack"/>
      <w:bookmarkEnd w:id="0"/>
      <w:bookmarkEnd w:id="2"/>
    </w:p>
    <w:sectPr w:rsidR="00DC295E" w:rsidRPr="00AD7F6F" w:rsidSect="00B65AF1">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F82" w:rsidRDefault="003C7F82" w:rsidP="00632EAA">
      <w:r>
        <w:separator/>
      </w:r>
    </w:p>
  </w:endnote>
  <w:endnote w:type="continuationSeparator" w:id="0">
    <w:p w:rsidR="003C7F82" w:rsidRDefault="003C7F82"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41" w:rsidRDefault="001C664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677080"/>
      <w:docPartObj>
        <w:docPartGallery w:val="Page Numbers (Bottom of Page)"/>
        <w:docPartUnique/>
      </w:docPartObj>
    </w:sdtPr>
    <w:sdtEndPr/>
    <w:sdtContent>
      <w:p w:rsidR="002A3328" w:rsidRDefault="002A3328">
        <w:pPr>
          <w:pStyle w:val="Pieddepage"/>
          <w:jc w:val="right"/>
        </w:pPr>
        <w:r>
          <w:fldChar w:fldCharType="begin"/>
        </w:r>
        <w:r>
          <w:instrText>PAGE   \* MERGEFORMAT</w:instrText>
        </w:r>
        <w:r>
          <w:fldChar w:fldCharType="separate"/>
        </w:r>
        <w:r w:rsidR="001C6641">
          <w:rPr>
            <w:noProof/>
          </w:rPr>
          <w:t>10</w:t>
        </w:r>
        <w:r>
          <w:fldChar w:fldCharType="end"/>
        </w:r>
      </w:p>
    </w:sdtContent>
  </w:sdt>
  <w:p w:rsidR="003C7F82" w:rsidRDefault="001C6641">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15" name="MSIPCMb4294e78b4f0ae5b71b3a059"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1C6641" w:rsidRPr="001C6641" w:rsidRDefault="001C6641" w:rsidP="001C6641">
                          <w:pPr>
                            <w:rPr>
                              <w:rFonts w:ascii="Calibri" w:hAnsi="Calibri" w:cs="Calibri"/>
                              <w:color w:val="737373"/>
                              <w:sz w:val="16"/>
                            </w:rPr>
                          </w:pPr>
                          <w:r w:rsidRPr="001C6641">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b4294e78b4f0ae5b71b3a059"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Jnvzqx4DAAA4BgAADgAAAAAA&#10;AAAAAAAAAAAuAgAAZHJzL2Uyb0RvYy54bWxQSwECLQAUAAYACAAAACEAfHYI4d8AAAALAQAADwAA&#10;AAAAAAAAAAAAAAB4BQAAZHJzL2Rvd25yZXYueG1sUEsFBgAAAAAEAAQA8wAAAIQGAAAAAA==&#10;" o:allowincell="f" filled="f" stroked="f" strokeweight=".5pt">
              <v:fill o:detectmouseclick="t"/>
              <v:textbox inset="20pt,0,,0">
                <w:txbxContent>
                  <w:p w:rsidR="001C6641" w:rsidRPr="001C6641" w:rsidRDefault="001C6641" w:rsidP="001C6641">
                    <w:pPr>
                      <w:rPr>
                        <w:rFonts w:ascii="Calibri" w:hAnsi="Calibri" w:cs="Calibri"/>
                        <w:color w:val="737373"/>
                        <w:sz w:val="16"/>
                      </w:rPr>
                    </w:pPr>
                    <w:r w:rsidRPr="001C6641">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41" w:rsidRDefault="001C664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F82" w:rsidRDefault="003C7F82" w:rsidP="00632EAA">
      <w:r>
        <w:separator/>
      </w:r>
    </w:p>
  </w:footnote>
  <w:footnote w:type="continuationSeparator" w:id="0">
    <w:p w:rsidR="003C7F82" w:rsidRDefault="003C7F82"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41" w:rsidRDefault="001C664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41" w:rsidRDefault="001C664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41" w:rsidRDefault="001C664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DD8"/>
    <w:rsid w:val="000641C0"/>
    <w:rsid w:val="00067109"/>
    <w:rsid w:val="000679AC"/>
    <w:rsid w:val="00077732"/>
    <w:rsid w:val="00082509"/>
    <w:rsid w:val="000874DF"/>
    <w:rsid w:val="00090B79"/>
    <w:rsid w:val="00093D02"/>
    <w:rsid w:val="00094EB3"/>
    <w:rsid w:val="0009578D"/>
    <w:rsid w:val="0009601D"/>
    <w:rsid w:val="000A2FB6"/>
    <w:rsid w:val="000A3D69"/>
    <w:rsid w:val="000A4A04"/>
    <w:rsid w:val="000A5ED9"/>
    <w:rsid w:val="000A6EFA"/>
    <w:rsid w:val="000B156B"/>
    <w:rsid w:val="000B6EB6"/>
    <w:rsid w:val="000B6ECC"/>
    <w:rsid w:val="000B7E03"/>
    <w:rsid w:val="000C4889"/>
    <w:rsid w:val="000C5BCC"/>
    <w:rsid w:val="000C702C"/>
    <w:rsid w:val="000D17A4"/>
    <w:rsid w:val="000D21A7"/>
    <w:rsid w:val="000D268A"/>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4E12"/>
    <w:rsid w:val="0010583E"/>
    <w:rsid w:val="00112363"/>
    <w:rsid w:val="001155DC"/>
    <w:rsid w:val="00116E2A"/>
    <w:rsid w:val="00124CE0"/>
    <w:rsid w:val="0012530F"/>
    <w:rsid w:val="001259C9"/>
    <w:rsid w:val="0012750D"/>
    <w:rsid w:val="00134724"/>
    <w:rsid w:val="00141BFC"/>
    <w:rsid w:val="00141F36"/>
    <w:rsid w:val="001420E9"/>
    <w:rsid w:val="00142231"/>
    <w:rsid w:val="00145281"/>
    <w:rsid w:val="00151611"/>
    <w:rsid w:val="00151A43"/>
    <w:rsid w:val="00152500"/>
    <w:rsid w:val="00152726"/>
    <w:rsid w:val="001562F5"/>
    <w:rsid w:val="00170414"/>
    <w:rsid w:val="0017044D"/>
    <w:rsid w:val="0017255A"/>
    <w:rsid w:val="00174112"/>
    <w:rsid w:val="001745D7"/>
    <w:rsid w:val="00174D90"/>
    <w:rsid w:val="001758CA"/>
    <w:rsid w:val="00175D7D"/>
    <w:rsid w:val="001802ED"/>
    <w:rsid w:val="00181729"/>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641"/>
    <w:rsid w:val="001C6728"/>
    <w:rsid w:val="001D21C0"/>
    <w:rsid w:val="001D2CFB"/>
    <w:rsid w:val="001E4E26"/>
    <w:rsid w:val="001E796F"/>
    <w:rsid w:val="001E7AFE"/>
    <w:rsid w:val="001E7C78"/>
    <w:rsid w:val="001F0E5F"/>
    <w:rsid w:val="001F4F7F"/>
    <w:rsid w:val="002000EA"/>
    <w:rsid w:val="00201C31"/>
    <w:rsid w:val="00203583"/>
    <w:rsid w:val="00206C2A"/>
    <w:rsid w:val="002078BB"/>
    <w:rsid w:val="00207BD5"/>
    <w:rsid w:val="002110BC"/>
    <w:rsid w:val="0021328A"/>
    <w:rsid w:val="00216FF9"/>
    <w:rsid w:val="00222827"/>
    <w:rsid w:val="00226C24"/>
    <w:rsid w:val="002308C6"/>
    <w:rsid w:val="00230B15"/>
    <w:rsid w:val="00233557"/>
    <w:rsid w:val="00235DEB"/>
    <w:rsid w:val="0023751E"/>
    <w:rsid w:val="002412DD"/>
    <w:rsid w:val="002505D9"/>
    <w:rsid w:val="002506D7"/>
    <w:rsid w:val="002525D8"/>
    <w:rsid w:val="0025315D"/>
    <w:rsid w:val="00254989"/>
    <w:rsid w:val="00256885"/>
    <w:rsid w:val="00260D05"/>
    <w:rsid w:val="002611C1"/>
    <w:rsid w:val="002637F2"/>
    <w:rsid w:val="00264CE5"/>
    <w:rsid w:val="00264ECA"/>
    <w:rsid w:val="00273EF1"/>
    <w:rsid w:val="00274AD5"/>
    <w:rsid w:val="00276D92"/>
    <w:rsid w:val="0027748F"/>
    <w:rsid w:val="00281F6C"/>
    <w:rsid w:val="00292AF0"/>
    <w:rsid w:val="00292D9C"/>
    <w:rsid w:val="00294B9B"/>
    <w:rsid w:val="002A322F"/>
    <w:rsid w:val="002A3328"/>
    <w:rsid w:val="002A3CA4"/>
    <w:rsid w:val="002A46CF"/>
    <w:rsid w:val="002A634E"/>
    <w:rsid w:val="002A63D2"/>
    <w:rsid w:val="002B0A38"/>
    <w:rsid w:val="002B268E"/>
    <w:rsid w:val="002B4084"/>
    <w:rsid w:val="002C101E"/>
    <w:rsid w:val="002C167B"/>
    <w:rsid w:val="002C2834"/>
    <w:rsid w:val="002C2DC2"/>
    <w:rsid w:val="002C5FAC"/>
    <w:rsid w:val="002D3EC9"/>
    <w:rsid w:val="002E337C"/>
    <w:rsid w:val="002E34FF"/>
    <w:rsid w:val="002E3C88"/>
    <w:rsid w:val="002E5E89"/>
    <w:rsid w:val="002E71C2"/>
    <w:rsid w:val="002E7D66"/>
    <w:rsid w:val="002F0C21"/>
    <w:rsid w:val="002F3091"/>
    <w:rsid w:val="002F4402"/>
    <w:rsid w:val="002F6B57"/>
    <w:rsid w:val="00304D6E"/>
    <w:rsid w:val="0031071E"/>
    <w:rsid w:val="003144DD"/>
    <w:rsid w:val="00314C8B"/>
    <w:rsid w:val="003166BC"/>
    <w:rsid w:val="00317596"/>
    <w:rsid w:val="003228D3"/>
    <w:rsid w:val="003233B1"/>
    <w:rsid w:val="00323815"/>
    <w:rsid w:val="003261EE"/>
    <w:rsid w:val="00326A93"/>
    <w:rsid w:val="00326EA9"/>
    <w:rsid w:val="00330C78"/>
    <w:rsid w:val="00332645"/>
    <w:rsid w:val="00337BE0"/>
    <w:rsid w:val="003411EA"/>
    <w:rsid w:val="0034135F"/>
    <w:rsid w:val="0034170D"/>
    <w:rsid w:val="00343C28"/>
    <w:rsid w:val="00347D77"/>
    <w:rsid w:val="00352A1E"/>
    <w:rsid w:val="00352DAA"/>
    <w:rsid w:val="00353AD0"/>
    <w:rsid w:val="00354C96"/>
    <w:rsid w:val="003556EB"/>
    <w:rsid w:val="00360110"/>
    <w:rsid w:val="00361D63"/>
    <w:rsid w:val="00365809"/>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948B3"/>
    <w:rsid w:val="00394A95"/>
    <w:rsid w:val="00394D84"/>
    <w:rsid w:val="003952D7"/>
    <w:rsid w:val="00397BA3"/>
    <w:rsid w:val="003A1222"/>
    <w:rsid w:val="003B2136"/>
    <w:rsid w:val="003B2B32"/>
    <w:rsid w:val="003B2CFF"/>
    <w:rsid w:val="003B5E8C"/>
    <w:rsid w:val="003B63F5"/>
    <w:rsid w:val="003B75F0"/>
    <w:rsid w:val="003B7952"/>
    <w:rsid w:val="003C03CD"/>
    <w:rsid w:val="003C27DA"/>
    <w:rsid w:val="003C7F82"/>
    <w:rsid w:val="003D41A5"/>
    <w:rsid w:val="003E1B3F"/>
    <w:rsid w:val="003E5A71"/>
    <w:rsid w:val="003E749D"/>
    <w:rsid w:val="003F028B"/>
    <w:rsid w:val="003F4023"/>
    <w:rsid w:val="003F6F10"/>
    <w:rsid w:val="00401AE1"/>
    <w:rsid w:val="00401C1D"/>
    <w:rsid w:val="00401CC8"/>
    <w:rsid w:val="00401F6A"/>
    <w:rsid w:val="00402633"/>
    <w:rsid w:val="004032E3"/>
    <w:rsid w:val="00403835"/>
    <w:rsid w:val="00404264"/>
    <w:rsid w:val="004069F1"/>
    <w:rsid w:val="00407002"/>
    <w:rsid w:val="004110E2"/>
    <w:rsid w:val="00415641"/>
    <w:rsid w:val="00416B48"/>
    <w:rsid w:val="00416F1A"/>
    <w:rsid w:val="0043066E"/>
    <w:rsid w:val="0043099C"/>
    <w:rsid w:val="0043164A"/>
    <w:rsid w:val="00432229"/>
    <w:rsid w:val="00432974"/>
    <w:rsid w:val="004337C8"/>
    <w:rsid w:val="00434880"/>
    <w:rsid w:val="00440575"/>
    <w:rsid w:val="004411EA"/>
    <w:rsid w:val="00451C8C"/>
    <w:rsid w:val="00457643"/>
    <w:rsid w:val="00457CAE"/>
    <w:rsid w:val="00464BA2"/>
    <w:rsid w:val="004657DD"/>
    <w:rsid w:val="0046677B"/>
    <w:rsid w:val="00467E82"/>
    <w:rsid w:val="00470E75"/>
    <w:rsid w:val="00473686"/>
    <w:rsid w:val="00474400"/>
    <w:rsid w:val="00476700"/>
    <w:rsid w:val="004801A4"/>
    <w:rsid w:val="00480883"/>
    <w:rsid w:val="004857D5"/>
    <w:rsid w:val="004873C5"/>
    <w:rsid w:val="00490C20"/>
    <w:rsid w:val="00493D28"/>
    <w:rsid w:val="00494714"/>
    <w:rsid w:val="004A2834"/>
    <w:rsid w:val="004A2C42"/>
    <w:rsid w:val="004A4C46"/>
    <w:rsid w:val="004A5B07"/>
    <w:rsid w:val="004A7BFF"/>
    <w:rsid w:val="004B145B"/>
    <w:rsid w:val="004B449F"/>
    <w:rsid w:val="004C0997"/>
    <w:rsid w:val="004C107D"/>
    <w:rsid w:val="004C1D94"/>
    <w:rsid w:val="004C57CF"/>
    <w:rsid w:val="004C5D8C"/>
    <w:rsid w:val="004C7595"/>
    <w:rsid w:val="004D02B8"/>
    <w:rsid w:val="004D2E5B"/>
    <w:rsid w:val="004D3429"/>
    <w:rsid w:val="004D3A21"/>
    <w:rsid w:val="004E02D3"/>
    <w:rsid w:val="004E2FE7"/>
    <w:rsid w:val="004F35A1"/>
    <w:rsid w:val="004F3E17"/>
    <w:rsid w:val="004F49FB"/>
    <w:rsid w:val="004F7DB1"/>
    <w:rsid w:val="004F7DDC"/>
    <w:rsid w:val="00500A6D"/>
    <w:rsid w:val="00501F69"/>
    <w:rsid w:val="0050573E"/>
    <w:rsid w:val="00514C7E"/>
    <w:rsid w:val="00515845"/>
    <w:rsid w:val="005224FA"/>
    <w:rsid w:val="0052288F"/>
    <w:rsid w:val="0054005C"/>
    <w:rsid w:val="00542341"/>
    <w:rsid w:val="00542FB4"/>
    <w:rsid w:val="0054379C"/>
    <w:rsid w:val="00545E40"/>
    <w:rsid w:val="005530C2"/>
    <w:rsid w:val="005600F6"/>
    <w:rsid w:val="005622FD"/>
    <w:rsid w:val="00562C92"/>
    <w:rsid w:val="0056419E"/>
    <w:rsid w:val="00567C3E"/>
    <w:rsid w:val="00571826"/>
    <w:rsid w:val="00572E55"/>
    <w:rsid w:val="005770A5"/>
    <w:rsid w:val="00580C26"/>
    <w:rsid w:val="00583E6E"/>
    <w:rsid w:val="00585A3D"/>
    <w:rsid w:val="0059070C"/>
    <w:rsid w:val="00592CE7"/>
    <w:rsid w:val="0059618B"/>
    <w:rsid w:val="00597F48"/>
    <w:rsid w:val="005A4992"/>
    <w:rsid w:val="005A5601"/>
    <w:rsid w:val="005A7A3E"/>
    <w:rsid w:val="005B5283"/>
    <w:rsid w:val="005B781D"/>
    <w:rsid w:val="005C3180"/>
    <w:rsid w:val="005C5E67"/>
    <w:rsid w:val="005D451E"/>
    <w:rsid w:val="005D7228"/>
    <w:rsid w:val="005E3841"/>
    <w:rsid w:val="005E4948"/>
    <w:rsid w:val="005F56ED"/>
    <w:rsid w:val="005F7340"/>
    <w:rsid w:val="0060114F"/>
    <w:rsid w:val="0060274E"/>
    <w:rsid w:val="006048FD"/>
    <w:rsid w:val="00612BDB"/>
    <w:rsid w:val="00613E70"/>
    <w:rsid w:val="00617226"/>
    <w:rsid w:val="00620D34"/>
    <w:rsid w:val="00623878"/>
    <w:rsid w:val="0062397C"/>
    <w:rsid w:val="00626AF6"/>
    <w:rsid w:val="00632EAA"/>
    <w:rsid w:val="0063445B"/>
    <w:rsid w:val="006374F9"/>
    <w:rsid w:val="006420ED"/>
    <w:rsid w:val="00643293"/>
    <w:rsid w:val="006453BD"/>
    <w:rsid w:val="00645868"/>
    <w:rsid w:val="00650C73"/>
    <w:rsid w:val="00654221"/>
    <w:rsid w:val="0066004C"/>
    <w:rsid w:val="006641B7"/>
    <w:rsid w:val="00670CF7"/>
    <w:rsid w:val="00674A32"/>
    <w:rsid w:val="00675360"/>
    <w:rsid w:val="00676870"/>
    <w:rsid w:val="00682009"/>
    <w:rsid w:val="006832C0"/>
    <w:rsid w:val="006871A5"/>
    <w:rsid w:val="00690736"/>
    <w:rsid w:val="0069101B"/>
    <w:rsid w:val="00691E63"/>
    <w:rsid w:val="006940AC"/>
    <w:rsid w:val="00694328"/>
    <w:rsid w:val="00695C02"/>
    <w:rsid w:val="00696B7C"/>
    <w:rsid w:val="006A0DD9"/>
    <w:rsid w:val="006A1753"/>
    <w:rsid w:val="006A43AF"/>
    <w:rsid w:val="006A74DA"/>
    <w:rsid w:val="006B0A0C"/>
    <w:rsid w:val="006B35CA"/>
    <w:rsid w:val="006B4A73"/>
    <w:rsid w:val="006B5DB2"/>
    <w:rsid w:val="006C0FF6"/>
    <w:rsid w:val="006C10F5"/>
    <w:rsid w:val="006C59E0"/>
    <w:rsid w:val="006C634F"/>
    <w:rsid w:val="006D6C35"/>
    <w:rsid w:val="006D7DCD"/>
    <w:rsid w:val="006E0AD0"/>
    <w:rsid w:val="006E1A3A"/>
    <w:rsid w:val="006E6472"/>
    <w:rsid w:val="006E6B6F"/>
    <w:rsid w:val="006F4736"/>
    <w:rsid w:val="006F48CB"/>
    <w:rsid w:val="006F5BF6"/>
    <w:rsid w:val="006F6A52"/>
    <w:rsid w:val="006F7044"/>
    <w:rsid w:val="00702A9F"/>
    <w:rsid w:val="00703DD8"/>
    <w:rsid w:val="007046BB"/>
    <w:rsid w:val="00704A64"/>
    <w:rsid w:val="0071546A"/>
    <w:rsid w:val="00720A70"/>
    <w:rsid w:val="007236FA"/>
    <w:rsid w:val="00725CFC"/>
    <w:rsid w:val="00726F34"/>
    <w:rsid w:val="00727A2F"/>
    <w:rsid w:val="00732E1A"/>
    <w:rsid w:val="007357F8"/>
    <w:rsid w:val="0073620D"/>
    <w:rsid w:val="00736D43"/>
    <w:rsid w:val="007400C0"/>
    <w:rsid w:val="007447D8"/>
    <w:rsid w:val="00746A4F"/>
    <w:rsid w:val="007514B1"/>
    <w:rsid w:val="00754F13"/>
    <w:rsid w:val="0076073C"/>
    <w:rsid w:val="00762F69"/>
    <w:rsid w:val="00763578"/>
    <w:rsid w:val="00764E65"/>
    <w:rsid w:val="007658F2"/>
    <w:rsid w:val="00770199"/>
    <w:rsid w:val="0077185D"/>
    <w:rsid w:val="00775E44"/>
    <w:rsid w:val="00776C3E"/>
    <w:rsid w:val="007774E7"/>
    <w:rsid w:val="007801B9"/>
    <w:rsid w:val="00781543"/>
    <w:rsid w:val="00782DF8"/>
    <w:rsid w:val="007A504D"/>
    <w:rsid w:val="007A54EF"/>
    <w:rsid w:val="007A5656"/>
    <w:rsid w:val="007B31F5"/>
    <w:rsid w:val="007B6865"/>
    <w:rsid w:val="007C14A5"/>
    <w:rsid w:val="007C5980"/>
    <w:rsid w:val="007D3A98"/>
    <w:rsid w:val="007D4DA3"/>
    <w:rsid w:val="007D538A"/>
    <w:rsid w:val="007E0829"/>
    <w:rsid w:val="007E3F85"/>
    <w:rsid w:val="007E4A2B"/>
    <w:rsid w:val="007F11FB"/>
    <w:rsid w:val="007F215B"/>
    <w:rsid w:val="007F5372"/>
    <w:rsid w:val="00804BD3"/>
    <w:rsid w:val="00805F6D"/>
    <w:rsid w:val="00810D8C"/>
    <w:rsid w:val="00811CF5"/>
    <w:rsid w:val="0081223A"/>
    <w:rsid w:val="00814FAE"/>
    <w:rsid w:val="0081521A"/>
    <w:rsid w:val="00817780"/>
    <w:rsid w:val="008213B0"/>
    <w:rsid w:val="00821443"/>
    <w:rsid w:val="008251B9"/>
    <w:rsid w:val="008269BA"/>
    <w:rsid w:val="00830431"/>
    <w:rsid w:val="00831471"/>
    <w:rsid w:val="00840B16"/>
    <w:rsid w:val="00841983"/>
    <w:rsid w:val="00841EF7"/>
    <w:rsid w:val="008431B4"/>
    <w:rsid w:val="00843BA0"/>
    <w:rsid w:val="008451F2"/>
    <w:rsid w:val="008520DB"/>
    <w:rsid w:val="00852F7E"/>
    <w:rsid w:val="0085485A"/>
    <w:rsid w:val="00854929"/>
    <w:rsid w:val="00855054"/>
    <w:rsid w:val="00860835"/>
    <w:rsid w:val="008612D0"/>
    <w:rsid w:val="00862246"/>
    <w:rsid w:val="008631EB"/>
    <w:rsid w:val="008668F5"/>
    <w:rsid w:val="00871790"/>
    <w:rsid w:val="00875D08"/>
    <w:rsid w:val="008761B9"/>
    <w:rsid w:val="008769DF"/>
    <w:rsid w:val="00883554"/>
    <w:rsid w:val="00883760"/>
    <w:rsid w:val="00892275"/>
    <w:rsid w:val="00893DED"/>
    <w:rsid w:val="00894BE9"/>
    <w:rsid w:val="00894DA5"/>
    <w:rsid w:val="00897DD4"/>
    <w:rsid w:val="008A14C3"/>
    <w:rsid w:val="008A2B2F"/>
    <w:rsid w:val="008A3DE3"/>
    <w:rsid w:val="008A4E31"/>
    <w:rsid w:val="008A59F5"/>
    <w:rsid w:val="008A7F8B"/>
    <w:rsid w:val="008B7591"/>
    <w:rsid w:val="008C46FE"/>
    <w:rsid w:val="008C6E2B"/>
    <w:rsid w:val="008D0E1C"/>
    <w:rsid w:val="008D490D"/>
    <w:rsid w:val="008E220D"/>
    <w:rsid w:val="008F1539"/>
    <w:rsid w:val="008F40E5"/>
    <w:rsid w:val="00900B05"/>
    <w:rsid w:val="009029F1"/>
    <w:rsid w:val="009049D6"/>
    <w:rsid w:val="009079FA"/>
    <w:rsid w:val="00911680"/>
    <w:rsid w:val="00912E53"/>
    <w:rsid w:val="009141EC"/>
    <w:rsid w:val="00917964"/>
    <w:rsid w:val="0092725C"/>
    <w:rsid w:val="00930CE7"/>
    <w:rsid w:val="00932B93"/>
    <w:rsid w:val="009341A8"/>
    <w:rsid w:val="00934473"/>
    <w:rsid w:val="00935C01"/>
    <w:rsid w:val="009372C2"/>
    <w:rsid w:val="0093766C"/>
    <w:rsid w:val="00942E0E"/>
    <w:rsid w:val="009435E0"/>
    <w:rsid w:val="00947D9D"/>
    <w:rsid w:val="0095687C"/>
    <w:rsid w:val="00957245"/>
    <w:rsid w:val="0096003D"/>
    <w:rsid w:val="009601F4"/>
    <w:rsid w:val="0097003B"/>
    <w:rsid w:val="00970A24"/>
    <w:rsid w:val="00972EC7"/>
    <w:rsid w:val="0097505A"/>
    <w:rsid w:val="009751B4"/>
    <w:rsid w:val="009779FA"/>
    <w:rsid w:val="009856D8"/>
    <w:rsid w:val="009925DF"/>
    <w:rsid w:val="00992B49"/>
    <w:rsid w:val="00996367"/>
    <w:rsid w:val="009B0E08"/>
    <w:rsid w:val="009B17F3"/>
    <w:rsid w:val="009B2E21"/>
    <w:rsid w:val="009B4D2D"/>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27F6"/>
    <w:rsid w:val="00A04A6C"/>
    <w:rsid w:val="00A0762B"/>
    <w:rsid w:val="00A15D2E"/>
    <w:rsid w:val="00A215DB"/>
    <w:rsid w:val="00A22906"/>
    <w:rsid w:val="00A2391D"/>
    <w:rsid w:val="00A25FDD"/>
    <w:rsid w:val="00A2655E"/>
    <w:rsid w:val="00A267FD"/>
    <w:rsid w:val="00A27403"/>
    <w:rsid w:val="00A27D70"/>
    <w:rsid w:val="00A308B4"/>
    <w:rsid w:val="00A30EF5"/>
    <w:rsid w:val="00A31477"/>
    <w:rsid w:val="00A3197D"/>
    <w:rsid w:val="00A34C8C"/>
    <w:rsid w:val="00A35622"/>
    <w:rsid w:val="00A36E33"/>
    <w:rsid w:val="00A3772E"/>
    <w:rsid w:val="00A40891"/>
    <w:rsid w:val="00A409F1"/>
    <w:rsid w:val="00A44ABB"/>
    <w:rsid w:val="00A472AD"/>
    <w:rsid w:val="00A53FF3"/>
    <w:rsid w:val="00A5613B"/>
    <w:rsid w:val="00A6071B"/>
    <w:rsid w:val="00A636A6"/>
    <w:rsid w:val="00A64B0D"/>
    <w:rsid w:val="00A665E7"/>
    <w:rsid w:val="00A73D56"/>
    <w:rsid w:val="00A741BF"/>
    <w:rsid w:val="00A77E98"/>
    <w:rsid w:val="00A800B4"/>
    <w:rsid w:val="00A801C3"/>
    <w:rsid w:val="00A82504"/>
    <w:rsid w:val="00A84247"/>
    <w:rsid w:val="00A87371"/>
    <w:rsid w:val="00A87A14"/>
    <w:rsid w:val="00A901AB"/>
    <w:rsid w:val="00A902E0"/>
    <w:rsid w:val="00A9308D"/>
    <w:rsid w:val="00AA00F5"/>
    <w:rsid w:val="00AA28DD"/>
    <w:rsid w:val="00AA580A"/>
    <w:rsid w:val="00AA5C6E"/>
    <w:rsid w:val="00AA7942"/>
    <w:rsid w:val="00AB09C6"/>
    <w:rsid w:val="00AB20FB"/>
    <w:rsid w:val="00AB7793"/>
    <w:rsid w:val="00AB7D94"/>
    <w:rsid w:val="00AC18B9"/>
    <w:rsid w:val="00AC2628"/>
    <w:rsid w:val="00AC4466"/>
    <w:rsid w:val="00AC4E3C"/>
    <w:rsid w:val="00AC5952"/>
    <w:rsid w:val="00AC5E45"/>
    <w:rsid w:val="00AC7C55"/>
    <w:rsid w:val="00AD3EC0"/>
    <w:rsid w:val="00AD7F6F"/>
    <w:rsid w:val="00AE3237"/>
    <w:rsid w:val="00AE3A93"/>
    <w:rsid w:val="00AE44FC"/>
    <w:rsid w:val="00AF02FB"/>
    <w:rsid w:val="00AF41BB"/>
    <w:rsid w:val="00AF42D3"/>
    <w:rsid w:val="00AF4A78"/>
    <w:rsid w:val="00AF6373"/>
    <w:rsid w:val="00AF7935"/>
    <w:rsid w:val="00AF7F1E"/>
    <w:rsid w:val="00B0012C"/>
    <w:rsid w:val="00B018B5"/>
    <w:rsid w:val="00B03AED"/>
    <w:rsid w:val="00B03EED"/>
    <w:rsid w:val="00B06C8C"/>
    <w:rsid w:val="00B10C67"/>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482E"/>
    <w:rsid w:val="00B5721D"/>
    <w:rsid w:val="00B6489E"/>
    <w:rsid w:val="00B65AF1"/>
    <w:rsid w:val="00B65EBF"/>
    <w:rsid w:val="00B67C22"/>
    <w:rsid w:val="00B7197D"/>
    <w:rsid w:val="00B71F16"/>
    <w:rsid w:val="00B731A7"/>
    <w:rsid w:val="00B74B95"/>
    <w:rsid w:val="00B81C31"/>
    <w:rsid w:val="00B82610"/>
    <w:rsid w:val="00B83D1C"/>
    <w:rsid w:val="00B83DFB"/>
    <w:rsid w:val="00B87258"/>
    <w:rsid w:val="00B9107B"/>
    <w:rsid w:val="00BA1E3D"/>
    <w:rsid w:val="00BA1F23"/>
    <w:rsid w:val="00BA40A9"/>
    <w:rsid w:val="00BA5214"/>
    <w:rsid w:val="00BA61B1"/>
    <w:rsid w:val="00BA7B81"/>
    <w:rsid w:val="00BB3A2F"/>
    <w:rsid w:val="00BB42CC"/>
    <w:rsid w:val="00BB4D8C"/>
    <w:rsid w:val="00BB553F"/>
    <w:rsid w:val="00BC6555"/>
    <w:rsid w:val="00BC73E5"/>
    <w:rsid w:val="00BD2F6E"/>
    <w:rsid w:val="00BD3A17"/>
    <w:rsid w:val="00BD512A"/>
    <w:rsid w:val="00BD620D"/>
    <w:rsid w:val="00BD7450"/>
    <w:rsid w:val="00BE1712"/>
    <w:rsid w:val="00BE257A"/>
    <w:rsid w:val="00BE3DB5"/>
    <w:rsid w:val="00BE6BD9"/>
    <w:rsid w:val="00BE7C61"/>
    <w:rsid w:val="00BF28CE"/>
    <w:rsid w:val="00BF5C20"/>
    <w:rsid w:val="00C014A3"/>
    <w:rsid w:val="00C0184E"/>
    <w:rsid w:val="00C1185F"/>
    <w:rsid w:val="00C12A71"/>
    <w:rsid w:val="00C17FD4"/>
    <w:rsid w:val="00C2005B"/>
    <w:rsid w:val="00C21C25"/>
    <w:rsid w:val="00C23D35"/>
    <w:rsid w:val="00C240BD"/>
    <w:rsid w:val="00C26531"/>
    <w:rsid w:val="00C35146"/>
    <w:rsid w:val="00C43239"/>
    <w:rsid w:val="00C53106"/>
    <w:rsid w:val="00C5412E"/>
    <w:rsid w:val="00C5448E"/>
    <w:rsid w:val="00C54F8B"/>
    <w:rsid w:val="00C606D4"/>
    <w:rsid w:val="00C620BE"/>
    <w:rsid w:val="00C624EF"/>
    <w:rsid w:val="00C65DC9"/>
    <w:rsid w:val="00C70863"/>
    <w:rsid w:val="00C7405E"/>
    <w:rsid w:val="00C76EFA"/>
    <w:rsid w:val="00C80D99"/>
    <w:rsid w:val="00C8169C"/>
    <w:rsid w:val="00C8255E"/>
    <w:rsid w:val="00C82F97"/>
    <w:rsid w:val="00C85349"/>
    <w:rsid w:val="00C856C1"/>
    <w:rsid w:val="00C86F3C"/>
    <w:rsid w:val="00C87891"/>
    <w:rsid w:val="00C91DC4"/>
    <w:rsid w:val="00C92A3F"/>
    <w:rsid w:val="00C955D5"/>
    <w:rsid w:val="00C97875"/>
    <w:rsid w:val="00C97E40"/>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778C"/>
    <w:rsid w:val="00CF3144"/>
    <w:rsid w:val="00CF4284"/>
    <w:rsid w:val="00CF5C74"/>
    <w:rsid w:val="00CF61F0"/>
    <w:rsid w:val="00CF7FF8"/>
    <w:rsid w:val="00D06ADB"/>
    <w:rsid w:val="00D07DCB"/>
    <w:rsid w:val="00D13526"/>
    <w:rsid w:val="00D15073"/>
    <w:rsid w:val="00D15C83"/>
    <w:rsid w:val="00D17E01"/>
    <w:rsid w:val="00D24188"/>
    <w:rsid w:val="00D2583B"/>
    <w:rsid w:val="00D2679F"/>
    <w:rsid w:val="00D27672"/>
    <w:rsid w:val="00D30F7E"/>
    <w:rsid w:val="00D3102B"/>
    <w:rsid w:val="00D31DF7"/>
    <w:rsid w:val="00D32D69"/>
    <w:rsid w:val="00D37A42"/>
    <w:rsid w:val="00D40055"/>
    <w:rsid w:val="00D43DAB"/>
    <w:rsid w:val="00D4418E"/>
    <w:rsid w:val="00D452F3"/>
    <w:rsid w:val="00D458DE"/>
    <w:rsid w:val="00D52828"/>
    <w:rsid w:val="00D53491"/>
    <w:rsid w:val="00D53649"/>
    <w:rsid w:val="00D5530C"/>
    <w:rsid w:val="00D5598E"/>
    <w:rsid w:val="00D5702B"/>
    <w:rsid w:val="00D608AD"/>
    <w:rsid w:val="00D67E50"/>
    <w:rsid w:val="00D709E7"/>
    <w:rsid w:val="00D724BF"/>
    <w:rsid w:val="00D756C6"/>
    <w:rsid w:val="00D76CEB"/>
    <w:rsid w:val="00D77DF4"/>
    <w:rsid w:val="00D8157E"/>
    <w:rsid w:val="00D82307"/>
    <w:rsid w:val="00D86FC3"/>
    <w:rsid w:val="00D90986"/>
    <w:rsid w:val="00D91B67"/>
    <w:rsid w:val="00D94E4A"/>
    <w:rsid w:val="00D9653B"/>
    <w:rsid w:val="00D97169"/>
    <w:rsid w:val="00DA05A1"/>
    <w:rsid w:val="00DA07F1"/>
    <w:rsid w:val="00DA29A7"/>
    <w:rsid w:val="00DA403B"/>
    <w:rsid w:val="00DA4CE6"/>
    <w:rsid w:val="00DA61C8"/>
    <w:rsid w:val="00DA6C8B"/>
    <w:rsid w:val="00DB12A7"/>
    <w:rsid w:val="00DB1FD1"/>
    <w:rsid w:val="00DB248E"/>
    <w:rsid w:val="00DB438C"/>
    <w:rsid w:val="00DC295E"/>
    <w:rsid w:val="00DC3AA6"/>
    <w:rsid w:val="00DC3BB3"/>
    <w:rsid w:val="00DC46D8"/>
    <w:rsid w:val="00DC6E5A"/>
    <w:rsid w:val="00DD26C3"/>
    <w:rsid w:val="00DD404E"/>
    <w:rsid w:val="00DD5A19"/>
    <w:rsid w:val="00DD6CE7"/>
    <w:rsid w:val="00DE63AD"/>
    <w:rsid w:val="00DE7494"/>
    <w:rsid w:val="00DF4937"/>
    <w:rsid w:val="00E01395"/>
    <w:rsid w:val="00E0208C"/>
    <w:rsid w:val="00E044F2"/>
    <w:rsid w:val="00E07347"/>
    <w:rsid w:val="00E11B6D"/>
    <w:rsid w:val="00E16C54"/>
    <w:rsid w:val="00E2226C"/>
    <w:rsid w:val="00E22DFF"/>
    <w:rsid w:val="00E249A2"/>
    <w:rsid w:val="00E34CDA"/>
    <w:rsid w:val="00E357EC"/>
    <w:rsid w:val="00E376A8"/>
    <w:rsid w:val="00E37CD3"/>
    <w:rsid w:val="00E43B0C"/>
    <w:rsid w:val="00E44FD6"/>
    <w:rsid w:val="00E47D77"/>
    <w:rsid w:val="00E5023D"/>
    <w:rsid w:val="00E5074A"/>
    <w:rsid w:val="00E51CC2"/>
    <w:rsid w:val="00E52F35"/>
    <w:rsid w:val="00E53824"/>
    <w:rsid w:val="00E60B59"/>
    <w:rsid w:val="00E6336C"/>
    <w:rsid w:val="00E65B93"/>
    <w:rsid w:val="00E73BC8"/>
    <w:rsid w:val="00E743CB"/>
    <w:rsid w:val="00E74773"/>
    <w:rsid w:val="00E75757"/>
    <w:rsid w:val="00E803BA"/>
    <w:rsid w:val="00E810A2"/>
    <w:rsid w:val="00E84B13"/>
    <w:rsid w:val="00E866B7"/>
    <w:rsid w:val="00E972B0"/>
    <w:rsid w:val="00EA5558"/>
    <w:rsid w:val="00EB0F5A"/>
    <w:rsid w:val="00EB29D8"/>
    <w:rsid w:val="00EB3109"/>
    <w:rsid w:val="00EB61B6"/>
    <w:rsid w:val="00EC0AF5"/>
    <w:rsid w:val="00EC49FD"/>
    <w:rsid w:val="00EC4EBF"/>
    <w:rsid w:val="00EC6109"/>
    <w:rsid w:val="00ED0482"/>
    <w:rsid w:val="00ED185D"/>
    <w:rsid w:val="00EE13D1"/>
    <w:rsid w:val="00EE3F61"/>
    <w:rsid w:val="00EE71A6"/>
    <w:rsid w:val="00EE7FC9"/>
    <w:rsid w:val="00EF0FC9"/>
    <w:rsid w:val="00F05CD8"/>
    <w:rsid w:val="00F136E1"/>
    <w:rsid w:val="00F139AF"/>
    <w:rsid w:val="00F16B6C"/>
    <w:rsid w:val="00F20AEE"/>
    <w:rsid w:val="00F20FBF"/>
    <w:rsid w:val="00F21A60"/>
    <w:rsid w:val="00F26242"/>
    <w:rsid w:val="00F26BC3"/>
    <w:rsid w:val="00F27321"/>
    <w:rsid w:val="00F400DC"/>
    <w:rsid w:val="00F40918"/>
    <w:rsid w:val="00F40F4B"/>
    <w:rsid w:val="00F43236"/>
    <w:rsid w:val="00F4699E"/>
    <w:rsid w:val="00F52598"/>
    <w:rsid w:val="00F533C7"/>
    <w:rsid w:val="00F5391F"/>
    <w:rsid w:val="00F5748E"/>
    <w:rsid w:val="00F61A1D"/>
    <w:rsid w:val="00F62AA8"/>
    <w:rsid w:val="00F63322"/>
    <w:rsid w:val="00F72829"/>
    <w:rsid w:val="00F74739"/>
    <w:rsid w:val="00F7511F"/>
    <w:rsid w:val="00F7571C"/>
    <w:rsid w:val="00F758DE"/>
    <w:rsid w:val="00F7692C"/>
    <w:rsid w:val="00F77222"/>
    <w:rsid w:val="00F8107B"/>
    <w:rsid w:val="00F82484"/>
    <w:rsid w:val="00F846A0"/>
    <w:rsid w:val="00F930B8"/>
    <w:rsid w:val="00F944A1"/>
    <w:rsid w:val="00F950A8"/>
    <w:rsid w:val="00F9531A"/>
    <w:rsid w:val="00FA2131"/>
    <w:rsid w:val="00FA3742"/>
    <w:rsid w:val="00FA40A9"/>
    <w:rsid w:val="00FA5CAD"/>
    <w:rsid w:val="00FA6DF2"/>
    <w:rsid w:val="00FB14CA"/>
    <w:rsid w:val="00FB2728"/>
    <w:rsid w:val="00FB5FC1"/>
    <w:rsid w:val="00FB69C9"/>
    <w:rsid w:val="00FC088B"/>
    <w:rsid w:val="00FC2714"/>
    <w:rsid w:val="00FD100B"/>
    <w:rsid w:val="00FD367A"/>
    <w:rsid w:val="00FD5E11"/>
    <w:rsid w:val="00FE1EB2"/>
    <w:rsid w:val="00FE30E6"/>
    <w:rsid w:val="00FE4A7A"/>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5:docId w15:val="{6BCFC7E5-B445-45C9-9F86-7E515F42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14AF0-72B7-40BC-B42F-25DF95EF0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2963</TotalTime>
  <Pages>11</Pages>
  <Words>921</Words>
  <Characters>5069</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756</cp:revision>
  <cp:lastPrinted>2018-03-12T09:18:00Z</cp:lastPrinted>
  <dcterms:created xsi:type="dcterms:W3CDTF">2018-02-02T13:49:00Z</dcterms:created>
  <dcterms:modified xsi:type="dcterms:W3CDTF">2018-07-02T08:49:00Z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