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7D66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</w:t>
      </w:r>
      <w:r w:rsidR="00F72829">
        <w:rPr>
          <w:rFonts w:ascii="Arial" w:hAnsi="Arial" w:cs="Arial"/>
          <w:b/>
          <w:sz w:val="28"/>
          <w:szCs w:val="28"/>
        </w:rPr>
        <w:t xml:space="preserve">      </w:t>
      </w:r>
    </w:p>
    <w:p w:rsidR="007236FA" w:rsidRDefault="007236FA" w:rsidP="00C955D5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7236FA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</w:p>
    <w:p w:rsidR="00F72829" w:rsidRDefault="00F72829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</w:t>
      </w:r>
    </w:p>
    <w:p w:rsidR="007236FA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</w:p>
    <w:p w:rsidR="007236FA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</w:p>
    <w:p w:rsidR="00F72829" w:rsidRDefault="00F72829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F72829" w:rsidRDefault="00F72829" w:rsidP="00C955D5">
      <w:pPr>
        <w:tabs>
          <w:tab w:val="left" w:pos="3696"/>
        </w:tabs>
        <w:rPr>
          <w:noProof/>
        </w:rPr>
      </w:pPr>
    </w:p>
    <w:p w:rsidR="00F72829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Pr="007C2A5B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6023AA" w:rsidRDefault="00F72829" w:rsidP="00F72829">
      <w:pPr>
        <w:jc w:val="both"/>
        <w:rPr>
          <w:rFonts w:ascii="Calibri Light" w:hAnsi="Calibri Light" w:cs="Arial"/>
          <w:b/>
          <w:sz w:val="44"/>
          <w:szCs w:val="44"/>
          <w:u w:val="single"/>
        </w:rPr>
      </w:pPr>
      <w:bookmarkStart w:id="0" w:name="_Hlk505587978"/>
      <w:r>
        <w:rPr>
          <w:rFonts w:ascii="Arial" w:hAnsi="Arial" w:cs="Arial"/>
          <w:b/>
          <w:sz w:val="22"/>
          <w:szCs w:val="22"/>
        </w:rPr>
        <w:t xml:space="preserve">               </w:t>
      </w:r>
      <w:r w:rsidRPr="006023AA">
        <w:rPr>
          <w:rFonts w:ascii="Calibri Light" w:hAnsi="Calibri Light" w:cs="Arial"/>
          <w:b/>
          <w:sz w:val="44"/>
          <w:szCs w:val="44"/>
          <w:u w:val="single"/>
        </w:rPr>
        <w:t>Perspectives techniques taux Euro-USA-UK-JP</w:t>
      </w:r>
    </w:p>
    <w:p w:rsidR="00F72829" w:rsidRPr="006023AA" w:rsidRDefault="00F72829" w:rsidP="00F72829">
      <w:pPr>
        <w:jc w:val="both"/>
        <w:rPr>
          <w:rFonts w:ascii="Calibri Light" w:hAnsi="Calibri Light" w:cs="Arial"/>
          <w:b/>
          <w:sz w:val="44"/>
          <w:szCs w:val="44"/>
        </w:rPr>
      </w:pPr>
    </w:p>
    <w:p w:rsidR="00F72829" w:rsidRPr="006023AA" w:rsidRDefault="00F72829" w:rsidP="00F72829">
      <w:pPr>
        <w:jc w:val="both"/>
        <w:rPr>
          <w:rFonts w:ascii="Calibri Light" w:hAnsi="Calibri Light" w:cs="Arial"/>
          <w:b/>
          <w:sz w:val="44"/>
          <w:szCs w:val="44"/>
        </w:rPr>
      </w:pPr>
    </w:p>
    <w:p w:rsidR="00F72829" w:rsidRPr="006023AA" w:rsidRDefault="00F72829" w:rsidP="00F72829">
      <w:pPr>
        <w:jc w:val="both"/>
        <w:rPr>
          <w:rFonts w:ascii="Calibri Light" w:hAnsi="Calibri Light" w:cs="Arial"/>
          <w:b/>
          <w:sz w:val="44"/>
          <w:szCs w:val="44"/>
        </w:rPr>
      </w:pPr>
      <w:r>
        <w:rPr>
          <w:rFonts w:ascii="Calibri Light" w:hAnsi="Calibri Light" w:cs="Arial"/>
          <w:b/>
          <w:sz w:val="44"/>
          <w:szCs w:val="44"/>
        </w:rPr>
        <w:t xml:space="preserve">                </w:t>
      </w:r>
      <w:r w:rsidR="00067109">
        <w:rPr>
          <w:rFonts w:ascii="Calibri Light" w:hAnsi="Calibri Light" w:cs="Arial"/>
          <w:b/>
          <w:sz w:val="44"/>
          <w:szCs w:val="44"/>
        </w:rPr>
        <w:t xml:space="preserve">       </w:t>
      </w:r>
      <w:r w:rsidRPr="006023AA">
        <w:rPr>
          <w:rFonts w:ascii="Calibri Light" w:hAnsi="Calibri Light" w:cs="Arial"/>
          <w:b/>
          <w:sz w:val="44"/>
          <w:szCs w:val="44"/>
        </w:rPr>
        <w:t xml:space="preserve">Semaine du </w:t>
      </w:r>
      <w:r w:rsidR="00CE3381">
        <w:rPr>
          <w:rFonts w:ascii="Calibri Light" w:hAnsi="Calibri Light" w:cs="Arial"/>
          <w:b/>
          <w:sz w:val="44"/>
          <w:szCs w:val="44"/>
        </w:rPr>
        <w:t>20</w:t>
      </w:r>
      <w:r w:rsidR="00684087">
        <w:rPr>
          <w:rFonts w:ascii="Calibri Light" w:hAnsi="Calibri Light" w:cs="Arial"/>
          <w:b/>
          <w:sz w:val="44"/>
          <w:szCs w:val="44"/>
        </w:rPr>
        <w:t xml:space="preserve"> août</w:t>
      </w:r>
      <w:r w:rsidR="00C955D5">
        <w:rPr>
          <w:rFonts w:ascii="Calibri Light" w:hAnsi="Calibri Light" w:cs="Arial"/>
          <w:b/>
          <w:sz w:val="44"/>
          <w:szCs w:val="44"/>
        </w:rPr>
        <w:t xml:space="preserve"> </w:t>
      </w:r>
      <w:r>
        <w:rPr>
          <w:rFonts w:ascii="Calibri Light" w:hAnsi="Calibri Light" w:cs="Arial"/>
          <w:b/>
          <w:sz w:val="44"/>
          <w:szCs w:val="44"/>
        </w:rPr>
        <w:t>2018</w:t>
      </w:r>
      <w:r w:rsidRPr="006023AA">
        <w:rPr>
          <w:rFonts w:ascii="Calibri Light" w:hAnsi="Calibri Light" w:cs="Arial"/>
          <w:b/>
          <w:sz w:val="44"/>
          <w:szCs w:val="44"/>
        </w:rPr>
        <w:t xml:space="preserve"> </w:t>
      </w: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3952D7" w:rsidRDefault="003952D7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AD7F6F" w:rsidRDefault="00AD7F6F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3952D7" w:rsidRDefault="003952D7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3952D7" w:rsidRDefault="003952D7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3952D7" w:rsidRDefault="003952D7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552A9B" w:rsidRDefault="00552A9B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9049D6" w:rsidRDefault="009049D6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B65AF1" w:rsidRDefault="00B65AF1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B65AF1" w:rsidRDefault="00B65AF1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B5FC1" w:rsidRDefault="00FB5FC1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390CFD" w:rsidRPr="00800AB1" w:rsidRDefault="00390CFD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5F56ED" w:rsidRDefault="00F72829" w:rsidP="00F72829">
      <w:pPr>
        <w:jc w:val="both"/>
        <w:rPr>
          <w:rFonts w:ascii="Arial" w:hAnsi="Arial" w:cs="Arial"/>
          <w:b/>
          <w:sz w:val="36"/>
          <w:szCs w:val="36"/>
          <w:u w:val="single"/>
        </w:rPr>
      </w:pPr>
      <w:r w:rsidRPr="00E35A20">
        <w:rPr>
          <w:rFonts w:ascii="Arial" w:hAnsi="Arial" w:cs="Arial"/>
          <w:b/>
          <w:sz w:val="28"/>
          <w:szCs w:val="28"/>
        </w:rPr>
        <w:lastRenderedPageBreak/>
        <w:t xml:space="preserve">                                            </w:t>
      </w:r>
      <w:r w:rsidRPr="005F56ED">
        <w:rPr>
          <w:rFonts w:ascii="Arial" w:hAnsi="Arial" w:cs="Arial"/>
          <w:b/>
          <w:sz w:val="36"/>
          <w:szCs w:val="36"/>
          <w:u w:val="single"/>
        </w:rPr>
        <w:t xml:space="preserve">10 ans Euro </w:t>
      </w:r>
    </w:p>
    <w:p w:rsidR="000D4E0C" w:rsidRPr="005F56ED" w:rsidRDefault="000D4E0C" w:rsidP="000D4E0C">
      <w:pPr>
        <w:autoSpaceDE w:val="0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5F56ED">
        <w:rPr>
          <w:rFonts w:ascii="Arial" w:hAnsi="Arial" w:cs="Arial"/>
          <w:b/>
          <w:sz w:val="28"/>
          <w:szCs w:val="28"/>
          <w:u w:val="single"/>
        </w:rPr>
        <w:t>Monthly</w:t>
      </w:r>
    </w:p>
    <w:p w:rsidR="00F72829" w:rsidRPr="00513731" w:rsidRDefault="00C327E6" w:rsidP="00B65AF1">
      <w:pPr>
        <w:autoSpaceDE w:val="0"/>
        <w:ind w:left="-283"/>
        <w:jc w:val="both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noProof/>
          <w:sz w:val="28"/>
          <w:szCs w:val="28"/>
          <w:u w:val="single"/>
        </w:rPr>
        <w:drawing>
          <wp:inline distT="0" distB="0" distL="0" distR="0">
            <wp:extent cx="6645606" cy="4229100"/>
            <wp:effectExtent l="0" t="0" r="3175" b="0"/>
            <wp:docPr id="1" name="Image 1" descr="C:\Temp\Bloomberg\temp\bfmF4A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Temp\Bloomberg\temp\bfmF4A5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757" cy="4231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2829" w:rsidRPr="00D43EB4" w:rsidRDefault="00F72829" w:rsidP="00F72829">
      <w:pPr>
        <w:autoSpaceDE w:val="0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D43EB4">
        <w:rPr>
          <w:rFonts w:ascii="Arial" w:hAnsi="Arial" w:cs="Arial"/>
          <w:b/>
          <w:sz w:val="28"/>
          <w:szCs w:val="28"/>
          <w:u w:val="single"/>
        </w:rPr>
        <w:t>Weekly</w:t>
      </w:r>
    </w:p>
    <w:p w:rsidR="000D4E0C" w:rsidRPr="00D43EB4" w:rsidRDefault="00C327E6" w:rsidP="00B23A4D">
      <w:pPr>
        <w:autoSpaceDE w:val="0"/>
        <w:ind w:left="-283"/>
        <w:jc w:val="both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noProof/>
          <w:sz w:val="28"/>
          <w:szCs w:val="28"/>
          <w:u w:val="single"/>
        </w:rPr>
        <w:drawing>
          <wp:inline distT="0" distB="0" distL="0" distR="0">
            <wp:extent cx="6645204" cy="4310743"/>
            <wp:effectExtent l="0" t="0" r="3810" b="0"/>
            <wp:docPr id="2" name="Image 2" descr="C:\Temp\Bloomberg\temp\bfm48B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Temp\Bloomberg\temp\bfm48B0.b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0338" cy="4314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4E0C" w:rsidRPr="00D43EB4" w:rsidRDefault="005E3841" w:rsidP="00B65AF1">
      <w:pPr>
        <w:autoSpaceDE w:val="0"/>
        <w:ind w:left="-851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D43EB4">
        <w:rPr>
          <w:rFonts w:ascii="Arial" w:hAnsi="Arial" w:cs="Arial"/>
          <w:b/>
          <w:sz w:val="28"/>
          <w:szCs w:val="28"/>
        </w:rPr>
        <w:lastRenderedPageBreak/>
        <w:t xml:space="preserve">           </w:t>
      </w:r>
      <w:r w:rsidR="000D4E0C" w:rsidRPr="00D43EB4">
        <w:rPr>
          <w:rFonts w:ascii="Arial" w:hAnsi="Arial" w:cs="Arial"/>
          <w:b/>
          <w:sz w:val="28"/>
          <w:szCs w:val="28"/>
          <w:u w:val="single"/>
        </w:rPr>
        <w:t>Daily</w:t>
      </w:r>
    </w:p>
    <w:p w:rsidR="00292E14" w:rsidRDefault="00C327E6" w:rsidP="00147D5D">
      <w:pPr>
        <w:autoSpaceDE w:val="0"/>
        <w:ind w:left="-283"/>
        <w:jc w:val="both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noProof/>
          <w:sz w:val="28"/>
          <w:szCs w:val="28"/>
          <w:u w:val="single"/>
        </w:rPr>
        <w:drawing>
          <wp:inline distT="0" distB="0" distL="0" distR="0">
            <wp:extent cx="6645606" cy="4376058"/>
            <wp:effectExtent l="0" t="0" r="3175" b="5715"/>
            <wp:docPr id="3" name="Image 3" descr="C:\Temp\Bloomberg\temp\bfm9D3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Temp\Bloomberg\temp\bfm9D37.b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7899" cy="4377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2E14" w:rsidRPr="00D43EB4" w:rsidRDefault="00292E14" w:rsidP="00C97875">
      <w:pPr>
        <w:autoSpaceDE w:val="0"/>
        <w:jc w:val="both"/>
        <w:rPr>
          <w:rFonts w:ascii="Arial" w:hAnsi="Arial" w:cs="Arial"/>
          <w:b/>
          <w:sz w:val="28"/>
          <w:szCs w:val="28"/>
          <w:u w:val="single"/>
        </w:rPr>
      </w:pPr>
    </w:p>
    <w:p w:rsidR="00873472" w:rsidRDefault="00F72829" w:rsidP="00292E14">
      <w:pPr>
        <w:jc w:val="both"/>
        <w:rPr>
          <w:rFonts w:ascii="Arial" w:hAnsi="Arial" w:cs="Arial"/>
          <w:b/>
          <w:bCs/>
        </w:rPr>
      </w:pPr>
      <w:r w:rsidRPr="00F95A87">
        <w:rPr>
          <w:rFonts w:ascii="Arial" w:hAnsi="Arial" w:cs="Arial"/>
          <w:b/>
        </w:rPr>
        <w:t>M</w:t>
      </w:r>
      <w:r w:rsidR="00DC3AA6" w:rsidRPr="00F95A87">
        <w:rPr>
          <w:rFonts w:ascii="Arial" w:hAnsi="Arial" w:cs="Arial"/>
          <w:b/>
        </w:rPr>
        <w:t xml:space="preserve"> : </w:t>
      </w:r>
      <w:r w:rsidR="00292E14" w:rsidRPr="00292E14">
        <w:rPr>
          <w:rFonts w:ascii="Arial" w:hAnsi="Arial" w:cs="Arial"/>
          <w:b/>
          <w:bCs/>
        </w:rPr>
        <w:t>Le maintien du marché sous 0.48/0.50 permettra de ne pas remettr</w:t>
      </w:r>
      <w:r w:rsidR="00C40FE4">
        <w:rPr>
          <w:rFonts w:ascii="Arial" w:hAnsi="Arial" w:cs="Arial"/>
          <w:b/>
          <w:bCs/>
        </w:rPr>
        <w:t>e</w:t>
      </w:r>
      <w:r w:rsidR="00292E14" w:rsidRPr="00292E14">
        <w:rPr>
          <w:rFonts w:ascii="Arial" w:hAnsi="Arial" w:cs="Arial"/>
          <w:b/>
          <w:bCs/>
        </w:rPr>
        <w:t xml:space="preserve"> en question le biais baissier de long terme.</w:t>
      </w:r>
    </w:p>
    <w:p w:rsidR="00292E14" w:rsidRPr="00292E14" w:rsidRDefault="00292E14" w:rsidP="00292E14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Les plats de TS et de KS sur respectivement 0.50 et 0.30 placent le marché dans un contexte sans tendance qui favorise la consolidation entre ces deux points.</w:t>
      </w:r>
    </w:p>
    <w:p w:rsidR="00D67E50" w:rsidRPr="00F95A87" w:rsidRDefault="00D67E50" w:rsidP="00D67E50">
      <w:pPr>
        <w:jc w:val="both"/>
        <w:rPr>
          <w:rFonts w:ascii="Tahoma" w:hAnsi="Tahoma" w:cs="Tahoma"/>
        </w:rPr>
      </w:pPr>
    </w:p>
    <w:p w:rsidR="000B7E03" w:rsidRDefault="003A1222" w:rsidP="008668F5">
      <w:pPr>
        <w:jc w:val="both"/>
        <w:rPr>
          <w:rFonts w:ascii="Arial" w:hAnsi="Arial" w:cs="Arial"/>
          <w:b/>
          <w:bCs/>
        </w:rPr>
      </w:pPr>
      <w:r w:rsidRPr="00F95A87">
        <w:rPr>
          <w:rFonts w:ascii="Arial" w:hAnsi="Arial" w:cs="Arial"/>
          <w:b/>
          <w:bCs/>
        </w:rPr>
        <w:t xml:space="preserve">W : </w:t>
      </w:r>
      <w:r w:rsidR="00D25AB7">
        <w:rPr>
          <w:rFonts w:ascii="Arial" w:hAnsi="Arial" w:cs="Arial"/>
          <w:b/>
          <w:bCs/>
        </w:rPr>
        <w:t>La cassure du nuage par le taux donne un avantage la baisse. Mais cette dernière ne sera confirmée qu’après le passage de la LS sous son nuage</w:t>
      </w:r>
      <w:r w:rsidR="00E46324">
        <w:rPr>
          <w:rFonts w:ascii="Arial" w:hAnsi="Arial" w:cs="Arial"/>
          <w:b/>
          <w:bCs/>
        </w:rPr>
        <w:t xml:space="preserve"> </w:t>
      </w:r>
      <w:r w:rsidR="00C40FE4">
        <w:rPr>
          <w:rFonts w:ascii="Arial" w:hAnsi="Arial" w:cs="Arial"/>
          <w:b/>
          <w:bCs/>
        </w:rPr>
        <w:t>dont le support</w:t>
      </w:r>
      <w:r w:rsidR="00E46324">
        <w:rPr>
          <w:rFonts w:ascii="Arial" w:hAnsi="Arial" w:cs="Arial"/>
          <w:b/>
          <w:bCs/>
        </w:rPr>
        <w:t xml:space="preserve"> se situe sur 0.23.</w:t>
      </w:r>
    </w:p>
    <w:p w:rsidR="00E46324" w:rsidRDefault="00E46324" w:rsidP="008668F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Mais avant d’envisager le </w:t>
      </w:r>
      <w:r w:rsidR="00C40FE4">
        <w:rPr>
          <w:rFonts w:ascii="Arial" w:hAnsi="Arial" w:cs="Arial"/>
          <w:b/>
          <w:bCs/>
        </w:rPr>
        <w:t>point</w:t>
      </w:r>
      <w:r>
        <w:rPr>
          <w:rFonts w:ascii="Arial" w:hAnsi="Arial" w:cs="Arial"/>
          <w:b/>
          <w:bCs/>
        </w:rPr>
        <w:t xml:space="preserve"> de 0.23, une consolidation peut </w:t>
      </w:r>
      <w:r w:rsidR="00C40FE4">
        <w:rPr>
          <w:rFonts w:ascii="Arial" w:hAnsi="Arial" w:cs="Arial"/>
          <w:b/>
          <w:bCs/>
        </w:rPr>
        <w:t>prendre forme</w:t>
      </w:r>
      <w:r>
        <w:rPr>
          <w:rFonts w:ascii="Arial" w:hAnsi="Arial" w:cs="Arial"/>
          <w:b/>
          <w:bCs/>
        </w:rPr>
        <w:t xml:space="preserve"> si le taux ne parvient pas à </w:t>
      </w:r>
      <w:r w:rsidR="00C40FE4">
        <w:rPr>
          <w:rFonts w:ascii="Arial" w:hAnsi="Arial" w:cs="Arial"/>
          <w:b/>
          <w:bCs/>
        </w:rPr>
        <w:t>c</w:t>
      </w:r>
      <w:r>
        <w:rPr>
          <w:rFonts w:ascii="Arial" w:hAnsi="Arial" w:cs="Arial"/>
          <w:b/>
          <w:bCs/>
        </w:rPr>
        <w:t xml:space="preserve">asser son précédent support de 0.28. Ce point </w:t>
      </w:r>
      <w:r w:rsidR="00C40FE4">
        <w:rPr>
          <w:rFonts w:ascii="Arial" w:hAnsi="Arial" w:cs="Arial"/>
          <w:b/>
          <w:bCs/>
        </w:rPr>
        <w:t xml:space="preserve">de 0.28 </w:t>
      </w:r>
      <w:r>
        <w:rPr>
          <w:rFonts w:ascii="Arial" w:hAnsi="Arial" w:cs="Arial"/>
          <w:b/>
          <w:bCs/>
        </w:rPr>
        <w:t xml:space="preserve">est renforcé par le support mensuel de 0.30. </w:t>
      </w:r>
    </w:p>
    <w:p w:rsidR="00D67E50" w:rsidRPr="00F95A87" w:rsidRDefault="00D67E50" w:rsidP="00D67E50">
      <w:pPr>
        <w:jc w:val="both"/>
        <w:rPr>
          <w:rFonts w:ascii="Tahoma" w:hAnsi="Tahoma" w:cs="Tahoma"/>
        </w:rPr>
      </w:pPr>
    </w:p>
    <w:p w:rsidR="00894DA5" w:rsidRDefault="00A82504" w:rsidP="00684087">
      <w:pPr>
        <w:jc w:val="both"/>
        <w:rPr>
          <w:rFonts w:ascii="Arial" w:hAnsi="Arial" w:cs="Arial"/>
          <w:b/>
          <w:bCs/>
        </w:rPr>
      </w:pPr>
      <w:r w:rsidRPr="00F95A87">
        <w:rPr>
          <w:rFonts w:ascii="Arial" w:hAnsi="Arial" w:cs="Arial"/>
          <w:b/>
          <w:bCs/>
        </w:rPr>
        <w:t xml:space="preserve">D : </w:t>
      </w:r>
      <w:r w:rsidR="003A6EBA">
        <w:rPr>
          <w:rFonts w:ascii="Arial" w:hAnsi="Arial" w:cs="Arial"/>
          <w:b/>
          <w:bCs/>
        </w:rPr>
        <w:t>La cassure du nuage par le taux et par la LS place cette unité de temps dans un environnement baissier.</w:t>
      </w:r>
    </w:p>
    <w:p w:rsidR="003A6EBA" w:rsidRPr="00F95A87" w:rsidRDefault="003A6EBA" w:rsidP="00684087">
      <w:pPr>
        <w:jc w:val="both"/>
        <w:rPr>
          <w:rFonts w:ascii="Tahoma" w:hAnsi="Tahoma" w:cs="Tahoma"/>
        </w:rPr>
      </w:pPr>
      <w:r>
        <w:rPr>
          <w:rFonts w:ascii="Arial" w:hAnsi="Arial" w:cs="Arial"/>
          <w:b/>
          <w:bCs/>
        </w:rPr>
        <w:t>Sous 0.33, le biais avantagera la baisse au cours de la semaine.</w:t>
      </w:r>
      <w:r w:rsidR="002D7C73">
        <w:rPr>
          <w:rFonts w:ascii="Arial" w:hAnsi="Arial" w:cs="Arial"/>
          <w:b/>
          <w:bCs/>
        </w:rPr>
        <w:t xml:space="preserve"> Les plats qui marquent l’affaiblissement du mouvement de baisse, montrent l’importance du support de 0.28.</w:t>
      </w:r>
    </w:p>
    <w:p w:rsidR="009F220A" w:rsidRPr="00F95A87" w:rsidRDefault="009F220A" w:rsidP="00FD5E11">
      <w:pPr>
        <w:jc w:val="both"/>
        <w:rPr>
          <w:rFonts w:ascii="Tahoma" w:hAnsi="Tahoma" w:cs="Tahoma"/>
        </w:rPr>
      </w:pPr>
    </w:p>
    <w:p w:rsidR="00F95A87" w:rsidRPr="00F95A87" w:rsidRDefault="00F95A87" w:rsidP="00FD5E11">
      <w:pPr>
        <w:jc w:val="both"/>
        <w:rPr>
          <w:rFonts w:ascii="Tahoma" w:hAnsi="Tahoma" w:cs="Tahoma"/>
        </w:rPr>
      </w:pPr>
    </w:p>
    <w:p w:rsidR="00F95A87" w:rsidRPr="00F95A87" w:rsidRDefault="00F95A87" w:rsidP="00FD5E11">
      <w:pPr>
        <w:jc w:val="both"/>
        <w:rPr>
          <w:rFonts w:ascii="Tahoma" w:hAnsi="Tahoma" w:cs="Tahoma"/>
        </w:rPr>
      </w:pPr>
    </w:p>
    <w:p w:rsidR="00AD2B82" w:rsidRPr="000C5427" w:rsidRDefault="00F72829" w:rsidP="0082122C">
      <w:pPr>
        <w:jc w:val="both"/>
        <w:rPr>
          <w:rFonts w:ascii="Arial" w:hAnsi="Arial" w:cs="Arial"/>
          <w:b/>
          <w:color w:val="00B050"/>
        </w:rPr>
      </w:pPr>
      <w:r w:rsidRPr="000C5427">
        <w:rPr>
          <w:rFonts w:ascii="Arial" w:hAnsi="Arial" w:cs="Arial"/>
          <w:b/>
          <w:color w:val="00B050"/>
          <w:u w:val="single"/>
        </w:rPr>
        <w:t>HEBDOMADAIRE</w:t>
      </w:r>
      <w:r w:rsidRPr="000C5427">
        <w:rPr>
          <w:rFonts w:ascii="Arial" w:hAnsi="Arial" w:cs="Arial"/>
          <w:b/>
          <w:color w:val="00B050"/>
        </w:rPr>
        <w:t xml:space="preserve"> : </w:t>
      </w:r>
      <w:r w:rsidR="00AD2B82" w:rsidRPr="000C5427">
        <w:rPr>
          <w:rFonts w:ascii="Arial" w:hAnsi="Arial" w:cs="Arial"/>
          <w:b/>
          <w:color w:val="00B050"/>
        </w:rPr>
        <w:t>Entre 0.50 et 0.30, le marché consolide sur un horizon de long terme.</w:t>
      </w:r>
    </w:p>
    <w:p w:rsidR="0082122C" w:rsidRPr="000C5427" w:rsidRDefault="00AD2B82" w:rsidP="0082122C">
      <w:pPr>
        <w:jc w:val="both"/>
        <w:rPr>
          <w:rFonts w:ascii="Arial" w:hAnsi="Arial" w:cs="Arial"/>
          <w:b/>
          <w:color w:val="00B050"/>
        </w:rPr>
      </w:pPr>
      <w:r w:rsidRPr="000C5427">
        <w:rPr>
          <w:rFonts w:ascii="Arial" w:hAnsi="Arial" w:cs="Arial"/>
          <w:b/>
          <w:color w:val="00B050"/>
        </w:rPr>
        <w:t xml:space="preserve">La cassure de 0.30 a ramené le taux sur son support intermédiaire de 0.28. Une rupture de 0.28 </w:t>
      </w:r>
      <w:r w:rsidR="00CA59B8">
        <w:rPr>
          <w:rFonts w:ascii="Arial" w:hAnsi="Arial" w:cs="Arial"/>
          <w:b/>
          <w:color w:val="00B050"/>
        </w:rPr>
        <w:t xml:space="preserve">sera </w:t>
      </w:r>
      <w:r w:rsidR="00951739">
        <w:rPr>
          <w:rFonts w:ascii="Arial" w:hAnsi="Arial" w:cs="Arial"/>
          <w:b/>
          <w:color w:val="00B050"/>
        </w:rPr>
        <w:t>nécessaire</w:t>
      </w:r>
      <w:r w:rsidR="00CA59B8">
        <w:rPr>
          <w:rFonts w:ascii="Arial" w:hAnsi="Arial" w:cs="Arial"/>
          <w:b/>
          <w:color w:val="00B050"/>
        </w:rPr>
        <w:t xml:space="preserve"> pour envisager la</w:t>
      </w:r>
      <w:r w:rsidR="00A7601B" w:rsidRPr="000C5427">
        <w:rPr>
          <w:rFonts w:ascii="Arial" w:hAnsi="Arial" w:cs="Arial"/>
          <w:b/>
          <w:color w:val="00B050"/>
        </w:rPr>
        <w:t xml:space="preserve"> cible</w:t>
      </w:r>
      <w:r w:rsidR="00CA59B8">
        <w:rPr>
          <w:rFonts w:ascii="Arial" w:hAnsi="Arial" w:cs="Arial"/>
          <w:b/>
          <w:color w:val="00B050"/>
        </w:rPr>
        <w:t xml:space="preserve"> de 0.23.</w:t>
      </w:r>
    </w:p>
    <w:p w:rsidR="008A59F5" w:rsidRDefault="008A59F5" w:rsidP="00F72829">
      <w:pPr>
        <w:jc w:val="both"/>
        <w:rPr>
          <w:rFonts w:ascii="Arial" w:hAnsi="Arial" w:cs="Arial"/>
          <w:b/>
          <w:color w:val="00B050"/>
        </w:rPr>
      </w:pPr>
    </w:p>
    <w:p w:rsidR="00537A18" w:rsidRDefault="00537A18" w:rsidP="00F72829">
      <w:pPr>
        <w:jc w:val="both"/>
        <w:rPr>
          <w:rFonts w:ascii="Arial" w:hAnsi="Arial" w:cs="Arial"/>
          <w:b/>
          <w:color w:val="FF0000"/>
        </w:rPr>
      </w:pPr>
    </w:p>
    <w:p w:rsidR="00884ED0" w:rsidRPr="00884ED0" w:rsidRDefault="00884ED0" w:rsidP="00F72829">
      <w:pPr>
        <w:jc w:val="both"/>
        <w:rPr>
          <w:rFonts w:ascii="Arial" w:hAnsi="Arial" w:cs="Arial"/>
          <w:b/>
          <w:color w:val="FF0000"/>
        </w:rPr>
      </w:pPr>
    </w:p>
    <w:p w:rsidR="00F72829" w:rsidRPr="00C327E6" w:rsidRDefault="004E02D3" w:rsidP="008F40E5">
      <w:pPr>
        <w:jc w:val="both"/>
        <w:rPr>
          <w:rFonts w:ascii="Arial" w:hAnsi="Arial" w:cs="Arial"/>
          <w:b/>
          <w:bCs/>
          <w:sz w:val="36"/>
          <w:szCs w:val="36"/>
          <w:u w:val="single"/>
          <w:lang w:val="en-US"/>
        </w:rPr>
      </w:pPr>
      <w:r w:rsidRPr="00436D1E">
        <w:rPr>
          <w:rFonts w:ascii="Arial" w:hAnsi="Arial" w:cs="Arial"/>
          <w:b/>
          <w:bCs/>
          <w:sz w:val="28"/>
          <w:szCs w:val="28"/>
        </w:rPr>
        <w:lastRenderedPageBreak/>
        <w:t xml:space="preserve"> </w:t>
      </w:r>
      <w:r w:rsidR="00F72829" w:rsidRPr="00436D1E">
        <w:rPr>
          <w:rFonts w:ascii="Arial" w:hAnsi="Arial" w:cs="Arial"/>
          <w:b/>
          <w:bCs/>
          <w:sz w:val="28"/>
          <w:szCs w:val="28"/>
        </w:rPr>
        <w:t xml:space="preserve">                                     </w:t>
      </w:r>
      <w:r w:rsidR="00F72829" w:rsidRPr="00C327E6">
        <w:rPr>
          <w:rFonts w:ascii="Arial" w:hAnsi="Arial" w:cs="Arial"/>
          <w:b/>
          <w:bCs/>
          <w:sz w:val="36"/>
          <w:szCs w:val="36"/>
          <w:u w:val="single"/>
          <w:lang w:val="en-US"/>
        </w:rPr>
        <w:t xml:space="preserve">10 ans USA </w:t>
      </w:r>
    </w:p>
    <w:p w:rsidR="00F72829" w:rsidRPr="00C327E6" w:rsidRDefault="00F72829" w:rsidP="00BE257A">
      <w:pPr>
        <w:jc w:val="both"/>
        <w:rPr>
          <w:rFonts w:ascii="Arial" w:hAnsi="Arial" w:cs="Arial"/>
          <w:b/>
          <w:sz w:val="28"/>
          <w:szCs w:val="28"/>
          <w:u w:val="single"/>
          <w:lang w:val="en-US"/>
        </w:rPr>
      </w:pPr>
      <w:r w:rsidRPr="00C327E6">
        <w:rPr>
          <w:rFonts w:ascii="Arial" w:hAnsi="Arial" w:cs="Arial"/>
          <w:b/>
          <w:sz w:val="28"/>
          <w:szCs w:val="28"/>
          <w:u w:val="single"/>
          <w:lang w:val="en-US"/>
        </w:rPr>
        <w:t>Monthly</w:t>
      </w:r>
    </w:p>
    <w:p w:rsidR="00B03AED" w:rsidRPr="00C327E6" w:rsidRDefault="001F42E0" w:rsidP="00B65AF1">
      <w:pPr>
        <w:ind w:left="-283"/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>
        <w:rPr>
          <w:rFonts w:ascii="Arial" w:hAnsi="Arial" w:cs="Arial"/>
          <w:b/>
          <w:bCs/>
          <w:noProof/>
          <w:sz w:val="28"/>
          <w:szCs w:val="28"/>
          <w:u w:val="single"/>
        </w:rPr>
        <w:drawing>
          <wp:inline distT="0" distB="0" distL="0" distR="0">
            <wp:extent cx="6645606" cy="4294415"/>
            <wp:effectExtent l="0" t="0" r="3175" b="0"/>
            <wp:docPr id="4" name="Image 4" descr="C:\Temp\Bloomberg\temp\bfm24FE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Temp\Bloomberg\temp\bfm24FE.b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9949" cy="4297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3AED" w:rsidRPr="00501F69" w:rsidRDefault="00B03AED" w:rsidP="006E6472">
      <w:pPr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501F69">
        <w:rPr>
          <w:rFonts w:ascii="Arial" w:hAnsi="Arial" w:cs="Arial"/>
          <w:b/>
          <w:bCs/>
          <w:sz w:val="28"/>
          <w:szCs w:val="28"/>
          <w:u w:val="single"/>
          <w:lang w:val="en-US"/>
        </w:rPr>
        <w:t>Weekly</w:t>
      </w:r>
    </w:p>
    <w:p w:rsidR="006E6472" w:rsidRPr="00501F69" w:rsidRDefault="001F42E0" w:rsidP="00B65AF1">
      <w:pPr>
        <w:ind w:left="-283"/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>
        <w:rPr>
          <w:rFonts w:ascii="Arial" w:hAnsi="Arial" w:cs="Arial"/>
          <w:b/>
          <w:bCs/>
          <w:noProof/>
          <w:sz w:val="28"/>
          <w:szCs w:val="28"/>
          <w:u w:val="single"/>
        </w:rPr>
        <w:drawing>
          <wp:inline distT="0" distB="0" distL="0" distR="0">
            <wp:extent cx="6645197" cy="4267200"/>
            <wp:effectExtent l="0" t="0" r="3810" b="0"/>
            <wp:docPr id="6" name="Image 6" descr="C:\Temp\Bloomberg\temp\bfm6CD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Temp\Bloomberg\temp\bfm6CD7.b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0943" cy="4270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655E" w:rsidRPr="001938B1" w:rsidRDefault="00A30EF5" w:rsidP="00571826">
      <w:pPr>
        <w:ind w:left="-850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1938B1">
        <w:rPr>
          <w:rFonts w:ascii="Arial" w:hAnsi="Arial" w:cs="Arial"/>
          <w:b/>
          <w:bCs/>
          <w:sz w:val="28"/>
          <w:szCs w:val="28"/>
        </w:rPr>
        <w:lastRenderedPageBreak/>
        <w:t xml:space="preserve">       </w:t>
      </w:r>
      <w:r w:rsidR="00B4277F" w:rsidRPr="001938B1">
        <w:rPr>
          <w:rFonts w:ascii="Arial" w:hAnsi="Arial" w:cs="Arial"/>
          <w:b/>
          <w:bCs/>
          <w:sz w:val="28"/>
          <w:szCs w:val="28"/>
        </w:rPr>
        <w:t xml:space="preserve">   </w:t>
      </w:r>
      <w:r w:rsidR="00B03AED" w:rsidRPr="001938B1">
        <w:rPr>
          <w:rFonts w:ascii="Arial" w:hAnsi="Arial" w:cs="Arial"/>
          <w:b/>
          <w:bCs/>
          <w:sz w:val="28"/>
          <w:szCs w:val="28"/>
          <w:u w:val="single"/>
        </w:rPr>
        <w:t xml:space="preserve">Daily </w:t>
      </w:r>
    </w:p>
    <w:p w:rsidR="00C97875" w:rsidRPr="001938B1" w:rsidRDefault="00C97875" w:rsidP="00F9531A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:rsidR="00E10D94" w:rsidRPr="001938B1" w:rsidRDefault="001F42E0" w:rsidP="00F9531A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noProof/>
          <w:sz w:val="28"/>
          <w:szCs w:val="28"/>
          <w:u w:val="single"/>
        </w:rPr>
        <w:drawing>
          <wp:inline distT="0" distB="0" distL="0" distR="0">
            <wp:extent cx="6645606" cy="4299857"/>
            <wp:effectExtent l="0" t="0" r="3175" b="5715"/>
            <wp:docPr id="7" name="Image 7" descr="C:\Temp\Bloomberg\temp\bfmE9C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Temp\Bloomberg\temp\bfmE9C4.bmp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9303" cy="4302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81A" w:rsidRPr="001938B1" w:rsidRDefault="0068581A" w:rsidP="00F9531A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:rsidR="00D8157E" w:rsidRPr="00EF591C" w:rsidRDefault="00D2583B" w:rsidP="00EF591C">
      <w:pPr>
        <w:tabs>
          <w:tab w:val="left" w:pos="5868"/>
        </w:tabs>
        <w:autoSpaceDE w:val="0"/>
        <w:jc w:val="both"/>
        <w:rPr>
          <w:rFonts w:ascii="Arial" w:hAnsi="Arial" w:cs="Arial"/>
          <w:b/>
          <w:bCs/>
        </w:rPr>
      </w:pPr>
      <w:r w:rsidRPr="00D07DCB">
        <w:rPr>
          <w:rFonts w:ascii="Arial" w:hAnsi="Arial" w:cs="Arial"/>
          <w:b/>
          <w:bCs/>
        </w:rPr>
        <w:t>M</w:t>
      </w:r>
      <w:r w:rsidRPr="00D07DCB">
        <w:rPr>
          <w:rFonts w:ascii="Tahoma" w:hAnsi="Tahoma" w:cs="Tahoma"/>
        </w:rPr>
        <w:t xml:space="preserve"> : </w:t>
      </w:r>
      <w:r w:rsidR="007810C3" w:rsidRPr="00EF591C">
        <w:rPr>
          <w:rFonts w:ascii="Arial" w:hAnsi="Arial" w:cs="Arial"/>
          <w:b/>
          <w:bCs/>
        </w:rPr>
        <w:t xml:space="preserve">L’environnement de long terme sera haussier </w:t>
      </w:r>
      <w:r w:rsidR="00436D1E" w:rsidRPr="00EF591C">
        <w:rPr>
          <w:rFonts w:ascii="Arial" w:hAnsi="Arial" w:cs="Arial"/>
          <w:b/>
          <w:bCs/>
        </w:rPr>
        <w:t>au-dessus</w:t>
      </w:r>
      <w:r w:rsidR="007810C3" w:rsidRPr="00EF591C">
        <w:rPr>
          <w:rFonts w:ascii="Arial" w:hAnsi="Arial" w:cs="Arial"/>
          <w:b/>
          <w:bCs/>
        </w:rPr>
        <w:t xml:space="preserve"> de 2.69.</w:t>
      </w:r>
      <w:r w:rsidR="00EF2BB2" w:rsidRPr="00EF591C">
        <w:rPr>
          <w:rFonts w:ascii="Arial" w:hAnsi="Arial" w:cs="Arial"/>
          <w:b/>
          <w:bCs/>
        </w:rPr>
        <w:t xml:space="preserve"> </w:t>
      </w:r>
      <w:r w:rsidR="00EF591C">
        <w:rPr>
          <w:rFonts w:ascii="Arial" w:hAnsi="Arial" w:cs="Arial"/>
          <w:b/>
          <w:bCs/>
        </w:rPr>
        <w:t>P</w:t>
      </w:r>
      <w:r w:rsidR="00F83CC3">
        <w:rPr>
          <w:rFonts w:ascii="Arial" w:hAnsi="Arial" w:cs="Arial"/>
          <w:b/>
          <w:bCs/>
        </w:rPr>
        <w:t xml:space="preserve">as de remise en question de ce cadre </w:t>
      </w:r>
      <w:r w:rsidR="00EF591C">
        <w:rPr>
          <w:rFonts w:ascii="Arial" w:hAnsi="Arial" w:cs="Arial"/>
          <w:b/>
          <w:bCs/>
        </w:rPr>
        <w:t>tant que le support de 2.69 reste</w:t>
      </w:r>
      <w:r w:rsidR="00F83CC3">
        <w:rPr>
          <w:rFonts w:ascii="Arial" w:hAnsi="Arial" w:cs="Arial"/>
          <w:b/>
          <w:bCs/>
        </w:rPr>
        <w:t xml:space="preserve">ra </w:t>
      </w:r>
      <w:r w:rsidR="00EF591C">
        <w:rPr>
          <w:rFonts w:ascii="Arial" w:hAnsi="Arial" w:cs="Arial"/>
          <w:b/>
          <w:bCs/>
        </w:rPr>
        <w:t>intact.</w:t>
      </w:r>
    </w:p>
    <w:p w:rsidR="00EF591C" w:rsidRPr="00EF591C" w:rsidRDefault="00EF591C" w:rsidP="00EF591C">
      <w:pPr>
        <w:tabs>
          <w:tab w:val="left" w:pos="5868"/>
        </w:tabs>
        <w:autoSpaceDE w:val="0"/>
        <w:jc w:val="both"/>
        <w:rPr>
          <w:rFonts w:ascii="Arial" w:hAnsi="Arial" w:cs="Arial"/>
          <w:b/>
          <w:bCs/>
        </w:rPr>
      </w:pPr>
      <w:r w:rsidRPr="00EF591C">
        <w:rPr>
          <w:rFonts w:ascii="Arial" w:hAnsi="Arial" w:cs="Arial"/>
          <w:b/>
          <w:bCs/>
        </w:rPr>
        <w:t>Après un haut à 3.01</w:t>
      </w:r>
      <w:r w:rsidR="00F83CC3">
        <w:rPr>
          <w:rFonts w:ascii="Arial" w:hAnsi="Arial" w:cs="Arial"/>
          <w:b/>
          <w:bCs/>
        </w:rPr>
        <w:t xml:space="preserve"> au cours du mois d’août</w:t>
      </w:r>
      <w:r w:rsidRPr="00EF591C">
        <w:rPr>
          <w:rFonts w:ascii="Arial" w:hAnsi="Arial" w:cs="Arial"/>
          <w:b/>
          <w:bCs/>
        </w:rPr>
        <w:t>, le taux se dirige sur son support de 2.71</w:t>
      </w:r>
      <w:r w:rsidR="00F83CC3">
        <w:rPr>
          <w:rFonts w:ascii="Arial" w:hAnsi="Arial" w:cs="Arial"/>
          <w:b/>
          <w:bCs/>
        </w:rPr>
        <w:t>,</w:t>
      </w:r>
      <w:r w:rsidRPr="00EF591C">
        <w:rPr>
          <w:rFonts w:ascii="Arial" w:hAnsi="Arial" w:cs="Arial"/>
          <w:b/>
          <w:bCs/>
        </w:rPr>
        <w:t xml:space="preserve"> matérialisé par un plat de TS</w:t>
      </w:r>
      <w:r>
        <w:rPr>
          <w:rFonts w:ascii="Arial" w:hAnsi="Arial" w:cs="Arial"/>
          <w:b/>
          <w:bCs/>
        </w:rPr>
        <w:t>. Cette courbe renforce le plat de nuage de 2.69.</w:t>
      </w:r>
    </w:p>
    <w:p w:rsidR="00EF591C" w:rsidRPr="007810C3" w:rsidRDefault="00EF591C" w:rsidP="00EF591C">
      <w:pPr>
        <w:tabs>
          <w:tab w:val="left" w:pos="5868"/>
        </w:tabs>
        <w:autoSpaceDE w:val="0"/>
        <w:jc w:val="both"/>
        <w:rPr>
          <w:rFonts w:ascii="Arial" w:hAnsi="Arial" w:cs="Arial"/>
          <w:b/>
          <w:bCs/>
        </w:rPr>
      </w:pPr>
    </w:p>
    <w:p w:rsidR="008668F5" w:rsidRDefault="00D2583B" w:rsidP="00CE3381">
      <w:pPr>
        <w:jc w:val="both"/>
        <w:rPr>
          <w:rFonts w:ascii="Arial" w:hAnsi="Arial" w:cs="Arial"/>
          <w:b/>
          <w:bCs/>
        </w:rPr>
      </w:pPr>
      <w:bookmarkStart w:id="1" w:name="_Hlk510791573"/>
      <w:r w:rsidRPr="00F950A8">
        <w:rPr>
          <w:rFonts w:ascii="Arial" w:hAnsi="Arial" w:cs="Arial"/>
          <w:b/>
          <w:bCs/>
        </w:rPr>
        <w:t xml:space="preserve">W : </w:t>
      </w:r>
      <w:r w:rsidR="001C3B4A">
        <w:rPr>
          <w:rFonts w:ascii="Arial" w:hAnsi="Arial" w:cs="Arial"/>
          <w:b/>
          <w:bCs/>
        </w:rPr>
        <w:t>La tendance haussière s’est affaiblie</w:t>
      </w:r>
      <w:r w:rsidR="00F83CC3">
        <w:rPr>
          <w:rFonts w:ascii="Arial" w:hAnsi="Arial" w:cs="Arial"/>
          <w:b/>
          <w:bCs/>
        </w:rPr>
        <w:t xml:space="preserve"> sur le moyen terme</w:t>
      </w:r>
      <w:r w:rsidR="001C3B4A">
        <w:rPr>
          <w:rFonts w:ascii="Arial" w:hAnsi="Arial" w:cs="Arial"/>
          <w:b/>
          <w:bCs/>
        </w:rPr>
        <w:t xml:space="preserve">. Cet </w:t>
      </w:r>
      <w:r w:rsidR="00255426">
        <w:rPr>
          <w:rFonts w:ascii="Arial" w:hAnsi="Arial" w:cs="Arial"/>
          <w:b/>
          <w:bCs/>
        </w:rPr>
        <w:t>affaiblissement</w:t>
      </w:r>
      <w:r w:rsidR="001C3B4A">
        <w:rPr>
          <w:rFonts w:ascii="Arial" w:hAnsi="Arial" w:cs="Arial"/>
          <w:b/>
          <w:bCs/>
        </w:rPr>
        <w:t xml:space="preserve"> passe par un retour de la TS sous sa KS. Pour autant la forme plate de la TS et de la KS nous </w:t>
      </w:r>
      <w:r w:rsidR="00255426">
        <w:rPr>
          <w:rFonts w:ascii="Arial" w:hAnsi="Arial" w:cs="Arial"/>
          <w:b/>
          <w:bCs/>
        </w:rPr>
        <w:t>indique</w:t>
      </w:r>
      <w:r w:rsidR="001C3B4A">
        <w:rPr>
          <w:rFonts w:ascii="Arial" w:hAnsi="Arial" w:cs="Arial"/>
          <w:b/>
          <w:bCs/>
        </w:rPr>
        <w:t xml:space="preserve"> que l</w:t>
      </w:r>
      <w:r w:rsidR="001E49F1">
        <w:rPr>
          <w:rFonts w:ascii="Arial" w:hAnsi="Arial" w:cs="Arial"/>
          <w:b/>
          <w:bCs/>
        </w:rPr>
        <w:t xml:space="preserve">a détérioration de la tendance </w:t>
      </w:r>
      <w:r w:rsidR="00F83CC3">
        <w:rPr>
          <w:rFonts w:ascii="Arial" w:hAnsi="Arial" w:cs="Arial"/>
          <w:b/>
          <w:bCs/>
        </w:rPr>
        <w:t xml:space="preserve">haussière </w:t>
      </w:r>
      <w:r w:rsidR="001E49F1">
        <w:rPr>
          <w:rFonts w:ascii="Arial" w:hAnsi="Arial" w:cs="Arial"/>
          <w:b/>
          <w:bCs/>
        </w:rPr>
        <w:t xml:space="preserve">est liée à </w:t>
      </w:r>
      <w:r w:rsidR="00F83CC3">
        <w:rPr>
          <w:rFonts w:ascii="Arial" w:hAnsi="Arial" w:cs="Arial"/>
          <w:b/>
          <w:bCs/>
        </w:rPr>
        <w:t>une</w:t>
      </w:r>
      <w:r w:rsidR="001E49F1">
        <w:rPr>
          <w:rFonts w:ascii="Arial" w:hAnsi="Arial" w:cs="Arial"/>
          <w:b/>
          <w:bCs/>
        </w:rPr>
        <w:t xml:space="preserve"> consolidation du marché</w:t>
      </w:r>
      <w:r w:rsidR="00F83CC3">
        <w:rPr>
          <w:rFonts w:ascii="Arial" w:hAnsi="Arial" w:cs="Arial"/>
          <w:b/>
          <w:bCs/>
        </w:rPr>
        <w:t xml:space="preserve"> qui ne permet pas (encore) d’avantager la baisse</w:t>
      </w:r>
      <w:r w:rsidR="001E49F1">
        <w:rPr>
          <w:rFonts w:ascii="Arial" w:hAnsi="Arial" w:cs="Arial"/>
          <w:b/>
          <w:bCs/>
        </w:rPr>
        <w:t>.</w:t>
      </w:r>
    </w:p>
    <w:p w:rsidR="001E49F1" w:rsidRDefault="00751BD5" w:rsidP="00CE338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Dans ce contexte, il sera </w:t>
      </w:r>
      <w:r w:rsidR="00255426">
        <w:rPr>
          <w:rFonts w:ascii="Arial" w:hAnsi="Arial" w:cs="Arial"/>
          <w:b/>
          <w:bCs/>
        </w:rPr>
        <w:t>nécessaire</w:t>
      </w:r>
      <w:r>
        <w:rPr>
          <w:rFonts w:ascii="Arial" w:hAnsi="Arial" w:cs="Arial"/>
          <w:b/>
          <w:bCs/>
        </w:rPr>
        <w:t xml:space="preserve"> d’attendre la cassure des supports hebdomadaires de 2.75 puis de 2.71 pour envisager un retournement favorable à la mise en place d’un mouvement baiss</w:t>
      </w:r>
      <w:r w:rsidR="00F83CC3">
        <w:rPr>
          <w:rFonts w:ascii="Arial" w:hAnsi="Arial" w:cs="Arial"/>
          <w:b/>
          <w:bCs/>
        </w:rPr>
        <w:t>i</w:t>
      </w:r>
      <w:r>
        <w:rPr>
          <w:rFonts w:ascii="Arial" w:hAnsi="Arial" w:cs="Arial"/>
          <w:b/>
          <w:bCs/>
        </w:rPr>
        <w:t>e</w:t>
      </w:r>
      <w:r w:rsidR="00F83CC3">
        <w:rPr>
          <w:rFonts w:ascii="Arial" w:hAnsi="Arial" w:cs="Arial"/>
          <w:b/>
          <w:bCs/>
        </w:rPr>
        <w:t>r</w:t>
      </w:r>
      <w:r>
        <w:rPr>
          <w:rFonts w:ascii="Arial" w:hAnsi="Arial" w:cs="Arial"/>
          <w:b/>
          <w:bCs/>
        </w:rPr>
        <w:t>.</w:t>
      </w:r>
    </w:p>
    <w:p w:rsidR="00CE3381" w:rsidRPr="004D2E5B" w:rsidRDefault="00CE3381" w:rsidP="00CE3381">
      <w:pPr>
        <w:jc w:val="both"/>
        <w:rPr>
          <w:rFonts w:ascii="Tahoma" w:hAnsi="Tahoma" w:cs="Tahoma"/>
        </w:rPr>
      </w:pPr>
    </w:p>
    <w:p w:rsidR="00385E03" w:rsidRPr="004D2E5B" w:rsidRDefault="00CF7FF8" w:rsidP="00CE3381">
      <w:pPr>
        <w:jc w:val="both"/>
        <w:rPr>
          <w:rFonts w:ascii="Tahoma" w:hAnsi="Tahoma" w:cs="Tahoma"/>
        </w:rPr>
      </w:pPr>
      <w:r w:rsidRPr="00F950A8">
        <w:rPr>
          <w:rFonts w:ascii="Arial" w:hAnsi="Arial" w:cs="Arial"/>
          <w:b/>
          <w:bCs/>
        </w:rPr>
        <w:t xml:space="preserve">D : </w:t>
      </w:r>
      <w:r w:rsidR="00BE4EA7">
        <w:rPr>
          <w:rFonts w:ascii="Arial" w:hAnsi="Arial" w:cs="Arial"/>
          <w:b/>
          <w:bCs/>
        </w:rPr>
        <w:t xml:space="preserve">Les nombreux plats sur le court terme renforcent l’idée </w:t>
      </w:r>
      <w:r w:rsidR="00140752">
        <w:rPr>
          <w:rFonts w:ascii="Arial" w:hAnsi="Arial" w:cs="Arial"/>
          <w:b/>
          <w:bCs/>
        </w:rPr>
        <w:t>que le</w:t>
      </w:r>
      <w:r w:rsidR="00BE4EA7">
        <w:rPr>
          <w:rFonts w:ascii="Arial" w:hAnsi="Arial" w:cs="Arial"/>
          <w:b/>
          <w:bCs/>
        </w:rPr>
        <w:t xml:space="preserve"> marché</w:t>
      </w:r>
      <w:r w:rsidR="00140752">
        <w:rPr>
          <w:rFonts w:ascii="Arial" w:hAnsi="Arial" w:cs="Arial"/>
          <w:b/>
          <w:bCs/>
        </w:rPr>
        <w:t xml:space="preserve"> consolide</w:t>
      </w:r>
      <w:r w:rsidR="00BE4EA7">
        <w:rPr>
          <w:rFonts w:ascii="Arial" w:hAnsi="Arial" w:cs="Arial"/>
          <w:b/>
          <w:bCs/>
        </w:rPr>
        <w:t>.</w:t>
      </w:r>
      <w:r w:rsidR="00BA2BD4">
        <w:rPr>
          <w:rFonts w:ascii="Arial" w:hAnsi="Arial" w:cs="Arial"/>
          <w:b/>
          <w:bCs/>
        </w:rPr>
        <w:t xml:space="preserve"> Le taux évolue au sein d’une dérive latérale comprise entre 3.1</w:t>
      </w:r>
      <w:r w:rsidR="00E74A10">
        <w:rPr>
          <w:rFonts w:ascii="Arial" w:hAnsi="Arial" w:cs="Arial"/>
          <w:b/>
          <w:bCs/>
        </w:rPr>
        <w:t>2</w:t>
      </w:r>
      <w:r w:rsidR="00BA2BD4">
        <w:rPr>
          <w:rFonts w:ascii="Arial" w:hAnsi="Arial" w:cs="Arial"/>
          <w:b/>
          <w:bCs/>
        </w:rPr>
        <w:t xml:space="preserve"> et </w:t>
      </w:r>
      <w:r w:rsidR="00E74A10">
        <w:rPr>
          <w:rFonts w:ascii="Arial" w:hAnsi="Arial" w:cs="Arial"/>
          <w:b/>
          <w:bCs/>
        </w:rPr>
        <w:t xml:space="preserve">2.75. La zone </w:t>
      </w:r>
      <w:r w:rsidR="00255426">
        <w:rPr>
          <w:rFonts w:ascii="Arial" w:hAnsi="Arial" w:cs="Arial"/>
          <w:b/>
          <w:bCs/>
        </w:rPr>
        <w:t>intermédiaire</w:t>
      </w:r>
      <w:r w:rsidR="00E74A10">
        <w:rPr>
          <w:rFonts w:ascii="Arial" w:hAnsi="Arial" w:cs="Arial"/>
          <w:b/>
          <w:bCs/>
        </w:rPr>
        <w:t xml:space="preserve"> de cette consolidation se situe sur 2.94.</w:t>
      </w:r>
    </w:p>
    <w:bookmarkEnd w:id="1"/>
    <w:p w:rsidR="0093766C" w:rsidRDefault="00CF7FF8" w:rsidP="006E6472">
      <w:pPr>
        <w:jc w:val="both"/>
        <w:rPr>
          <w:rFonts w:ascii="Tahoma" w:hAnsi="Tahoma" w:cs="Tahoma"/>
          <w:bCs/>
        </w:rPr>
      </w:pPr>
      <w:r w:rsidRPr="00F950A8">
        <w:rPr>
          <w:rFonts w:ascii="Tahoma" w:hAnsi="Tahoma" w:cs="Tahoma"/>
          <w:bCs/>
        </w:rPr>
        <w:t xml:space="preserve">  </w:t>
      </w:r>
    </w:p>
    <w:p w:rsidR="00140752" w:rsidRPr="006E6472" w:rsidRDefault="00140752" w:rsidP="006E6472">
      <w:pPr>
        <w:jc w:val="both"/>
        <w:rPr>
          <w:rFonts w:ascii="Tahoma" w:hAnsi="Tahoma" w:cs="Tahoma"/>
          <w:bCs/>
        </w:rPr>
      </w:pPr>
    </w:p>
    <w:p w:rsidR="008A59F5" w:rsidRPr="00264E54" w:rsidRDefault="00F72829" w:rsidP="00C8169C">
      <w:pPr>
        <w:jc w:val="both"/>
        <w:rPr>
          <w:rFonts w:ascii="Arial" w:hAnsi="Arial" w:cs="Arial"/>
          <w:b/>
          <w:color w:val="00B050"/>
        </w:rPr>
      </w:pPr>
      <w:r w:rsidRPr="00264E54">
        <w:rPr>
          <w:rFonts w:ascii="Arial" w:hAnsi="Arial" w:cs="Arial"/>
          <w:b/>
          <w:color w:val="00B050"/>
          <w:u w:val="single"/>
        </w:rPr>
        <w:t>HEBDOMADAIRE</w:t>
      </w:r>
      <w:r w:rsidRPr="00264E54">
        <w:rPr>
          <w:rFonts w:ascii="Arial" w:hAnsi="Arial" w:cs="Arial"/>
          <w:b/>
          <w:color w:val="00B050"/>
        </w:rPr>
        <w:t xml:space="preserve"> : </w:t>
      </w:r>
      <w:r w:rsidR="00264E54" w:rsidRPr="00264E54">
        <w:rPr>
          <w:rFonts w:ascii="Arial" w:hAnsi="Arial" w:cs="Arial"/>
          <w:b/>
          <w:color w:val="00B050"/>
        </w:rPr>
        <w:t>Le marché consolide. Le maintien du 10 ans sous 2.94 favorisera la baisse sur 2.75 sur un horizon de court terme.</w:t>
      </w:r>
    </w:p>
    <w:p w:rsidR="00264E54" w:rsidRPr="00264E54" w:rsidRDefault="00264E54" w:rsidP="00C8169C">
      <w:pPr>
        <w:jc w:val="both"/>
        <w:rPr>
          <w:rFonts w:ascii="Arial" w:hAnsi="Arial" w:cs="Arial"/>
          <w:b/>
          <w:color w:val="00B050"/>
        </w:rPr>
      </w:pPr>
      <w:r w:rsidRPr="00264E54">
        <w:rPr>
          <w:rFonts w:ascii="Arial" w:hAnsi="Arial" w:cs="Arial"/>
          <w:b/>
          <w:color w:val="00B050"/>
        </w:rPr>
        <w:t xml:space="preserve">En rupture les supports de moyen et de long terme respectivement sur 2.71 et 2.69 devraient amener </w:t>
      </w:r>
      <w:r w:rsidR="00473323">
        <w:rPr>
          <w:rFonts w:ascii="Arial" w:hAnsi="Arial" w:cs="Arial"/>
          <w:b/>
          <w:color w:val="00B050"/>
        </w:rPr>
        <w:t>le 10 ans</w:t>
      </w:r>
      <w:r w:rsidRPr="00264E54">
        <w:rPr>
          <w:rFonts w:ascii="Arial" w:hAnsi="Arial" w:cs="Arial"/>
          <w:b/>
          <w:color w:val="00B050"/>
        </w:rPr>
        <w:t xml:space="preserve"> à rebondir.</w:t>
      </w:r>
    </w:p>
    <w:p w:rsidR="00CE3381" w:rsidRDefault="00CE3381" w:rsidP="00C8169C">
      <w:pPr>
        <w:jc w:val="both"/>
        <w:rPr>
          <w:rFonts w:ascii="Arial" w:hAnsi="Arial" w:cs="Arial"/>
          <w:b/>
          <w:color w:val="FF0000"/>
        </w:rPr>
      </w:pPr>
    </w:p>
    <w:p w:rsidR="00E72B0E" w:rsidRPr="00E72B0E" w:rsidRDefault="00E72B0E" w:rsidP="00C8169C">
      <w:pPr>
        <w:jc w:val="both"/>
        <w:rPr>
          <w:rFonts w:ascii="Arial" w:hAnsi="Arial" w:cs="Arial"/>
          <w:b/>
          <w:color w:val="FF0000"/>
        </w:rPr>
      </w:pPr>
    </w:p>
    <w:p w:rsidR="00EB3109" w:rsidRPr="00A2655E" w:rsidRDefault="00D43DAB" w:rsidP="00D43DAB">
      <w:pPr>
        <w:jc w:val="both"/>
        <w:rPr>
          <w:rFonts w:ascii="Arial" w:hAnsi="Arial" w:cs="Arial"/>
          <w:b/>
          <w:bCs/>
          <w:sz w:val="36"/>
          <w:szCs w:val="36"/>
          <w:u w:val="single"/>
          <w:lang w:val="en-US"/>
        </w:rPr>
      </w:pPr>
      <w:r w:rsidRPr="00264E54">
        <w:rPr>
          <w:rFonts w:ascii="Arial" w:hAnsi="Arial" w:cs="Arial"/>
          <w:b/>
          <w:bCs/>
          <w:sz w:val="36"/>
          <w:szCs w:val="36"/>
        </w:rPr>
        <w:lastRenderedPageBreak/>
        <w:t xml:space="preserve">     </w:t>
      </w:r>
      <w:r w:rsidR="00292AF0" w:rsidRPr="00264E54">
        <w:rPr>
          <w:rFonts w:ascii="Arial" w:hAnsi="Arial" w:cs="Arial"/>
          <w:b/>
          <w:bCs/>
          <w:sz w:val="36"/>
          <w:szCs w:val="36"/>
        </w:rPr>
        <w:t xml:space="preserve">                       </w:t>
      </w:r>
      <w:r w:rsidRPr="00264E54">
        <w:rPr>
          <w:rFonts w:ascii="Arial" w:hAnsi="Arial" w:cs="Arial"/>
          <w:b/>
          <w:bCs/>
          <w:sz w:val="36"/>
          <w:szCs w:val="36"/>
        </w:rPr>
        <w:t xml:space="preserve"> </w:t>
      </w:r>
      <w:r w:rsidRPr="00A2655E">
        <w:rPr>
          <w:rFonts w:ascii="Arial" w:hAnsi="Arial" w:cs="Arial"/>
          <w:b/>
          <w:bCs/>
          <w:sz w:val="36"/>
          <w:szCs w:val="36"/>
          <w:u w:val="single"/>
          <w:lang w:val="en-US"/>
        </w:rPr>
        <w:t xml:space="preserve">10 ans UK </w:t>
      </w:r>
    </w:p>
    <w:p w:rsidR="006E6472" w:rsidRPr="00A2655E" w:rsidRDefault="006E6472" w:rsidP="006E6472">
      <w:pPr>
        <w:jc w:val="both"/>
        <w:rPr>
          <w:rFonts w:ascii="Arial" w:hAnsi="Arial" w:cs="Arial"/>
          <w:b/>
          <w:sz w:val="28"/>
          <w:szCs w:val="28"/>
          <w:u w:val="single"/>
          <w:lang w:val="en-US"/>
        </w:rPr>
      </w:pPr>
      <w:r w:rsidRPr="00A2655E">
        <w:rPr>
          <w:rFonts w:ascii="Arial" w:hAnsi="Arial" w:cs="Arial"/>
          <w:b/>
          <w:sz w:val="28"/>
          <w:szCs w:val="28"/>
          <w:u w:val="single"/>
          <w:lang w:val="en-US"/>
        </w:rPr>
        <w:t>Monthly</w:t>
      </w:r>
    </w:p>
    <w:p w:rsidR="005B5283" w:rsidRPr="00A2655E" w:rsidRDefault="005938BB" w:rsidP="005B5283">
      <w:pPr>
        <w:ind w:left="-283"/>
        <w:jc w:val="both"/>
        <w:rPr>
          <w:rFonts w:ascii="Arial" w:hAnsi="Arial" w:cs="Arial"/>
          <w:b/>
          <w:bCs/>
          <w:lang w:val="en-US"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>
            <wp:extent cx="6645606" cy="4256315"/>
            <wp:effectExtent l="0" t="0" r="3175" b="0"/>
            <wp:docPr id="8" name="Image 8" descr="C:\Temp\Bloomberg\temp\bfm79D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Temp\Bloomberg\temp\bfm79D6.bmp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9738" cy="4258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3DAB" w:rsidRPr="00A2655E" w:rsidRDefault="00D43DAB" w:rsidP="00D43DAB">
      <w:pPr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A2655E">
        <w:rPr>
          <w:rFonts w:ascii="Arial" w:hAnsi="Arial" w:cs="Arial"/>
          <w:b/>
          <w:bCs/>
          <w:sz w:val="28"/>
          <w:szCs w:val="28"/>
          <w:u w:val="single"/>
          <w:lang w:val="en-US"/>
        </w:rPr>
        <w:t>Weekly</w:t>
      </w:r>
    </w:p>
    <w:p w:rsidR="00D43DAB" w:rsidRPr="00A2655E" w:rsidRDefault="005938BB" w:rsidP="00B65AF1">
      <w:pPr>
        <w:tabs>
          <w:tab w:val="left" w:pos="4395"/>
        </w:tabs>
        <w:ind w:left="-283"/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>
        <w:rPr>
          <w:rFonts w:ascii="Arial" w:hAnsi="Arial" w:cs="Arial"/>
          <w:b/>
          <w:bCs/>
          <w:noProof/>
          <w:sz w:val="28"/>
          <w:szCs w:val="28"/>
          <w:u w:val="single"/>
        </w:rPr>
        <w:drawing>
          <wp:inline distT="0" distB="0" distL="0" distR="0">
            <wp:extent cx="6645275" cy="4294415"/>
            <wp:effectExtent l="0" t="0" r="3175" b="0"/>
            <wp:docPr id="9" name="Image 9" descr="C:\Temp\Bloomberg\temp\bfmCB4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Temp\Bloomberg\temp\bfmCB41.bmp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0822" cy="4297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46D8" w:rsidRPr="00C97875" w:rsidRDefault="00DC46D8" w:rsidP="006E6472">
      <w:pPr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C97875">
        <w:rPr>
          <w:rFonts w:ascii="Arial" w:hAnsi="Arial" w:cs="Arial"/>
          <w:b/>
          <w:bCs/>
          <w:sz w:val="28"/>
          <w:szCs w:val="28"/>
          <w:u w:val="single"/>
          <w:lang w:val="en-US"/>
        </w:rPr>
        <w:lastRenderedPageBreak/>
        <w:t xml:space="preserve">Daily </w:t>
      </w:r>
    </w:p>
    <w:p w:rsidR="00DC46D8" w:rsidRDefault="005938BB" w:rsidP="006E6472">
      <w:pPr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>
        <w:rPr>
          <w:rFonts w:ascii="Arial" w:hAnsi="Arial" w:cs="Arial"/>
          <w:b/>
          <w:bCs/>
          <w:noProof/>
          <w:sz w:val="28"/>
          <w:szCs w:val="28"/>
          <w:u w:val="single"/>
        </w:rPr>
        <w:drawing>
          <wp:inline distT="0" distB="0" distL="0" distR="0">
            <wp:extent cx="6645606" cy="4294415"/>
            <wp:effectExtent l="0" t="0" r="3175" b="0"/>
            <wp:docPr id="10" name="Image 10" descr="C:\Temp\Bloomberg\temp\bfm1D29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Temp\Bloomberg\temp\bfm1D29.bmp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0562" cy="4297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4D95" w:rsidRPr="001938B1" w:rsidRDefault="00BD4D95" w:rsidP="006E6472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:rsidR="0056201E" w:rsidRDefault="005530C2" w:rsidP="006E58A4">
      <w:pPr>
        <w:jc w:val="both"/>
        <w:rPr>
          <w:rFonts w:ascii="Arial" w:hAnsi="Arial" w:cs="Arial"/>
          <w:b/>
          <w:bCs/>
        </w:rPr>
      </w:pPr>
      <w:r w:rsidRPr="00634521">
        <w:rPr>
          <w:rFonts w:ascii="Arial" w:hAnsi="Arial" w:cs="Arial"/>
          <w:b/>
          <w:bCs/>
        </w:rPr>
        <w:t>M :</w:t>
      </w:r>
      <w:r w:rsidRPr="00634521">
        <w:rPr>
          <w:rFonts w:ascii="Tahoma" w:hAnsi="Tahoma" w:cs="Tahoma"/>
          <w:bCs/>
        </w:rPr>
        <w:t xml:space="preserve"> </w:t>
      </w:r>
      <w:r w:rsidR="006E58A4" w:rsidRPr="006E58A4">
        <w:rPr>
          <w:rFonts w:ascii="Arial" w:hAnsi="Arial" w:cs="Arial"/>
          <w:b/>
          <w:bCs/>
        </w:rPr>
        <w:t>Le contexte de long terme est baissier.</w:t>
      </w:r>
      <w:r w:rsidR="006E58A4">
        <w:rPr>
          <w:rFonts w:ascii="Arial" w:hAnsi="Arial" w:cs="Arial"/>
          <w:b/>
          <w:bCs/>
        </w:rPr>
        <w:t xml:space="preserve"> Le taux évolue entre le plat de TS de 1.40 et le plat de KS de 1.10. Ces plats serviront de support et de résistance au cours du mois.</w:t>
      </w:r>
    </w:p>
    <w:p w:rsidR="006E58A4" w:rsidRPr="00CE3381" w:rsidRDefault="006E58A4" w:rsidP="006E58A4">
      <w:pPr>
        <w:jc w:val="both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</w:rPr>
        <w:t>La forme de ces courbes indique que le marché n’est pas en tendance.</w:t>
      </w:r>
    </w:p>
    <w:p w:rsidR="00332645" w:rsidRPr="00634521" w:rsidRDefault="00332645" w:rsidP="001B1B61">
      <w:pPr>
        <w:jc w:val="both"/>
        <w:rPr>
          <w:rFonts w:ascii="Tahoma" w:hAnsi="Tahoma" w:cs="Tahoma"/>
          <w:bCs/>
        </w:rPr>
      </w:pPr>
    </w:p>
    <w:p w:rsidR="009F0C8E" w:rsidRDefault="00134724" w:rsidP="00684087">
      <w:pPr>
        <w:jc w:val="both"/>
        <w:rPr>
          <w:rFonts w:ascii="Arial" w:hAnsi="Arial" w:cs="Arial"/>
          <w:b/>
          <w:bCs/>
        </w:rPr>
      </w:pPr>
      <w:r w:rsidRPr="00F950A8">
        <w:rPr>
          <w:rFonts w:ascii="Arial" w:hAnsi="Arial" w:cs="Arial"/>
          <w:b/>
          <w:bCs/>
        </w:rPr>
        <w:t xml:space="preserve">W : </w:t>
      </w:r>
      <w:r w:rsidR="0042233B">
        <w:rPr>
          <w:rFonts w:ascii="Arial" w:hAnsi="Arial" w:cs="Arial"/>
          <w:b/>
          <w:bCs/>
        </w:rPr>
        <w:t xml:space="preserve">L’oblique baissière qui coiffe le marché </w:t>
      </w:r>
      <w:r w:rsidR="009F0C8E">
        <w:rPr>
          <w:rFonts w:ascii="Arial" w:hAnsi="Arial" w:cs="Arial"/>
          <w:b/>
          <w:bCs/>
        </w:rPr>
        <w:t xml:space="preserve">ainsi que la cassure de 1.31 par le taux </w:t>
      </w:r>
      <w:r w:rsidR="0042233B">
        <w:rPr>
          <w:rFonts w:ascii="Arial" w:hAnsi="Arial" w:cs="Arial"/>
          <w:b/>
          <w:bCs/>
        </w:rPr>
        <w:t>avantage</w:t>
      </w:r>
      <w:r w:rsidR="009F0C8E">
        <w:rPr>
          <w:rFonts w:ascii="Arial" w:hAnsi="Arial" w:cs="Arial"/>
          <w:b/>
          <w:bCs/>
        </w:rPr>
        <w:t>nt</w:t>
      </w:r>
      <w:r w:rsidR="0042233B">
        <w:rPr>
          <w:rFonts w:ascii="Arial" w:hAnsi="Arial" w:cs="Arial"/>
          <w:b/>
          <w:bCs/>
        </w:rPr>
        <w:t xml:space="preserve"> la baisse</w:t>
      </w:r>
      <w:r w:rsidR="009F0C8E">
        <w:rPr>
          <w:rFonts w:ascii="Arial" w:hAnsi="Arial" w:cs="Arial"/>
          <w:b/>
          <w:bCs/>
        </w:rPr>
        <w:t xml:space="preserve">. Mais les plats qui se développent sur cette unité de temps </w:t>
      </w:r>
      <w:r w:rsidR="00951739">
        <w:rPr>
          <w:rFonts w:ascii="Arial" w:hAnsi="Arial" w:cs="Arial"/>
          <w:b/>
          <w:bCs/>
        </w:rPr>
        <w:t>confirment que</w:t>
      </w:r>
      <w:r w:rsidR="009F0C8E">
        <w:rPr>
          <w:rFonts w:ascii="Arial" w:hAnsi="Arial" w:cs="Arial"/>
          <w:b/>
          <w:bCs/>
        </w:rPr>
        <w:t xml:space="preserve"> le marché n’est plus en tendance.</w:t>
      </w:r>
    </w:p>
    <w:p w:rsidR="009F0C8E" w:rsidRDefault="009F0C8E" w:rsidP="00684087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2 conditions seront </w:t>
      </w:r>
      <w:r w:rsidR="00255426">
        <w:rPr>
          <w:rFonts w:ascii="Arial" w:hAnsi="Arial" w:cs="Arial"/>
          <w:b/>
          <w:bCs/>
        </w:rPr>
        <w:t>nécessaires</w:t>
      </w:r>
      <w:r>
        <w:rPr>
          <w:rFonts w:ascii="Arial" w:hAnsi="Arial" w:cs="Arial"/>
          <w:b/>
          <w:bCs/>
        </w:rPr>
        <w:t xml:space="preserve"> pour envisager </w:t>
      </w:r>
      <w:r w:rsidR="00901F19">
        <w:rPr>
          <w:rFonts w:ascii="Arial" w:hAnsi="Arial" w:cs="Arial"/>
          <w:b/>
          <w:bCs/>
        </w:rPr>
        <w:t>une</w:t>
      </w:r>
      <w:r>
        <w:rPr>
          <w:rFonts w:ascii="Arial" w:hAnsi="Arial" w:cs="Arial"/>
          <w:b/>
          <w:bCs/>
        </w:rPr>
        <w:t xml:space="preserve"> reprise de la baisse. La première sera un maintien du </w:t>
      </w:r>
      <w:r w:rsidR="00901F19">
        <w:rPr>
          <w:rFonts w:ascii="Arial" w:hAnsi="Arial" w:cs="Arial"/>
          <w:b/>
          <w:bCs/>
        </w:rPr>
        <w:t>10 ans</w:t>
      </w:r>
      <w:r>
        <w:rPr>
          <w:rFonts w:ascii="Arial" w:hAnsi="Arial" w:cs="Arial"/>
          <w:b/>
          <w:bCs/>
        </w:rPr>
        <w:t xml:space="preserve"> sous la résistance de 1.31,</w:t>
      </w:r>
      <w:r w:rsidR="00901F19">
        <w:rPr>
          <w:rFonts w:ascii="Arial" w:hAnsi="Arial" w:cs="Arial"/>
          <w:b/>
          <w:bCs/>
        </w:rPr>
        <w:t xml:space="preserve"> matérialisée par un plat de nuage.</w:t>
      </w:r>
      <w:r>
        <w:rPr>
          <w:rFonts w:ascii="Arial" w:hAnsi="Arial" w:cs="Arial"/>
          <w:b/>
          <w:bCs/>
        </w:rPr>
        <w:t xml:space="preserve"> </w:t>
      </w:r>
      <w:r w:rsidR="00901F19">
        <w:rPr>
          <w:rFonts w:ascii="Arial" w:hAnsi="Arial" w:cs="Arial"/>
          <w:b/>
          <w:bCs/>
        </w:rPr>
        <w:t>L</w:t>
      </w:r>
      <w:r>
        <w:rPr>
          <w:rFonts w:ascii="Arial" w:hAnsi="Arial" w:cs="Arial"/>
          <w:b/>
          <w:bCs/>
        </w:rPr>
        <w:t>a seconde sera une cassure de 1.09, borne basse du nuage de la LS.</w:t>
      </w:r>
    </w:p>
    <w:p w:rsidR="009F0C8E" w:rsidRDefault="009F0C8E" w:rsidP="00684087">
      <w:pPr>
        <w:jc w:val="both"/>
        <w:rPr>
          <w:rFonts w:ascii="Arial" w:hAnsi="Arial" w:cs="Arial"/>
          <w:b/>
          <w:bCs/>
        </w:rPr>
      </w:pPr>
    </w:p>
    <w:p w:rsidR="0097003B" w:rsidRDefault="00134724" w:rsidP="00684087">
      <w:pPr>
        <w:jc w:val="both"/>
        <w:rPr>
          <w:rFonts w:ascii="Tahoma" w:hAnsi="Tahoma" w:cs="Tahoma"/>
          <w:bCs/>
        </w:rPr>
      </w:pPr>
      <w:r w:rsidRPr="00F950A8">
        <w:rPr>
          <w:rFonts w:ascii="Arial" w:hAnsi="Arial" w:cs="Arial"/>
          <w:b/>
          <w:bCs/>
        </w:rPr>
        <w:t xml:space="preserve">D : </w:t>
      </w:r>
      <w:r w:rsidR="00E31EBD">
        <w:rPr>
          <w:rFonts w:ascii="Arial" w:hAnsi="Arial" w:cs="Arial"/>
          <w:b/>
          <w:bCs/>
        </w:rPr>
        <w:t>Les nombreux croisement du nuage futur avantage</w:t>
      </w:r>
      <w:r w:rsidR="00A04119">
        <w:rPr>
          <w:rFonts w:ascii="Arial" w:hAnsi="Arial" w:cs="Arial"/>
          <w:b/>
          <w:bCs/>
        </w:rPr>
        <w:t>nt</w:t>
      </w:r>
      <w:r w:rsidR="00E31EBD">
        <w:rPr>
          <w:rFonts w:ascii="Arial" w:hAnsi="Arial" w:cs="Arial"/>
          <w:b/>
          <w:bCs/>
        </w:rPr>
        <w:t xml:space="preserve"> la neutralité au sein d’une dérive latérale comprise entre 1.44 et 1.17.</w:t>
      </w:r>
      <w:r w:rsidR="00592C7C">
        <w:rPr>
          <w:rFonts w:ascii="Arial" w:hAnsi="Arial" w:cs="Arial"/>
          <w:b/>
          <w:bCs/>
        </w:rPr>
        <w:t xml:space="preserve"> </w:t>
      </w:r>
      <w:r w:rsidR="00A04119">
        <w:rPr>
          <w:rFonts w:ascii="Arial" w:hAnsi="Arial" w:cs="Arial"/>
          <w:b/>
          <w:bCs/>
        </w:rPr>
        <w:t>A</w:t>
      </w:r>
      <w:r w:rsidR="00592C7C">
        <w:rPr>
          <w:rFonts w:ascii="Arial" w:hAnsi="Arial" w:cs="Arial"/>
          <w:b/>
          <w:bCs/>
        </w:rPr>
        <w:t xml:space="preserve"> </w:t>
      </w:r>
      <w:r w:rsidR="00A04119">
        <w:rPr>
          <w:rFonts w:ascii="Arial" w:hAnsi="Arial" w:cs="Arial"/>
          <w:b/>
          <w:bCs/>
        </w:rPr>
        <w:t>l’</w:t>
      </w:r>
      <w:r w:rsidR="00951739">
        <w:rPr>
          <w:rFonts w:ascii="Arial" w:hAnsi="Arial" w:cs="Arial"/>
          <w:b/>
          <w:bCs/>
        </w:rPr>
        <w:t>intérieur</w:t>
      </w:r>
      <w:r w:rsidR="00A04119">
        <w:rPr>
          <w:rFonts w:ascii="Arial" w:hAnsi="Arial" w:cs="Arial"/>
          <w:b/>
          <w:bCs/>
        </w:rPr>
        <w:t xml:space="preserve"> </w:t>
      </w:r>
      <w:r w:rsidR="00592C7C">
        <w:rPr>
          <w:rFonts w:ascii="Arial" w:hAnsi="Arial" w:cs="Arial"/>
          <w:b/>
          <w:bCs/>
        </w:rPr>
        <w:t>de la zone de consolidation, la pression baissière dominera tant que le taux se maintiendra sous 1.33. Le plat de KS de 1.28 servira de résistance intermédiaire.</w:t>
      </w:r>
    </w:p>
    <w:p w:rsidR="00181729" w:rsidRDefault="00181729" w:rsidP="008668F5">
      <w:pPr>
        <w:jc w:val="both"/>
        <w:rPr>
          <w:rFonts w:ascii="Tahoma" w:hAnsi="Tahoma" w:cs="Tahoma"/>
          <w:bCs/>
        </w:rPr>
      </w:pPr>
    </w:p>
    <w:p w:rsidR="009435E0" w:rsidRPr="00C955D5" w:rsidRDefault="009435E0" w:rsidP="005530C2">
      <w:pPr>
        <w:jc w:val="both"/>
        <w:rPr>
          <w:rFonts w:ascii="Arial" w:hAnsi="Arial" w:cs="Arial"/>
          <w:color w:val="FF0000"/>
        </w:rPr>
      </w:pPr>
    </w:p>
    <w:p w:rsidR="009B7574" w:rsidRPr="00EF591C" w:rsidRDefault="005530C2" w:rsidP="00BE257A">
      <w:pPr>
        <w:jc w:val="both"/>
        <w:rPr>
          <w:rFonts w:ascii="Arial" w:hAnsi="Arial" w:cs="Arial"/>
          <w:b/>
          <w:color w:val="00B050"/>
        </w:rPr>
      </w:pPr>
      <w:r w:rsidRPr="00EF591C">
        <w:rPr>
          <w:rFonts w:ascii="Arial" w:hAnsi="Arial" w:cs="Arial"/>
          <w:b/>
          <w:color w:val="00B050"/>
          <w:u w:val="single"/>
        </w:rPr>
        <w:t>HEBDOMADAIRE</w:t>
      </w:r>
      <w:r w:rsidRPr="00EF591C">
        <w:rPr>
          <w:rFonts w:ascii="Arial" w:hAnsi="Arial" w:cs="Arial"/>
          <w:b/>
          <w:color w:val="00B050"/>
        </w:rPr>
        <w:t xml:space="preserve"> : </w:t>
      </w:r>
      <w:r w:rsidR="00592C7C" w:rsidRPr="00EF591C">
        <w:rPr>
          <w:rFonts w:ascii="Arial" w:hAnsi="Arial" w:cs="Arial"/>
          <w:b/>
          <w:color w:val="00B050"/>
        </w:rPr>
        <w:t>Pas de tendance entre 1.10 et 1.40. Le maintien du taux sous 1.3</w:t>
      </w:r>
      <w:r w:rsidR="00EF591C" w:rsidRPr="00EF591C">
        <w:rPr>
          <w:rFonts w:ascii="Arial" w:hAnsi="Arial" w:cs="Arial"/>
          <w:b/>
          <w:color w:val="00B050"/>
        </w:rPr>
        <w:t xml:space="preserve">1/1.33 permettra d’envisager le test de la borne basse de 1.10. Un dépassement haussier de 1.33 </w:t>
      </w:r>
      <w:r w:rsidR="0039742F">
        <w:rPr>
          <w:rFonts w:ascii="Arial" w:hAnsi="Arial" w:cs="Arial"/>
          <w:b/>
          <w:color w:val="00B050"/>
        </w:rPr>
        <w:t>militera pour</w:t>
      </w:r>
      <w:r w:rsidR="00EF591C" w:rsidRPr="00EF591C">
        <w:rPr>
          <w:rFonts w:ascii="Arial" w:hAnsi="Arial" w:cs="Arial"/>
          <w:b/>
          <w:color w:val="00B050"/>
        </w:rPr>
        <w:t xml:space="preserve"> un retour </w:t>
      </w:r>
      <w:r w:rsidR="00255426" w:rsidRPr="00EF591C">
        <w:rPr>
          <w:rFonts w:ascii="Arial" w:hAnsi="Arial" w:cs="Arial"/>
          <w:b/>
          <w:color w:val="00B050"/>
        </w:rPr>
        <w:t>sur</w:t>
      </w:r>
      <w:r w:rsidR="00EF591C" w:rsidRPr="00EF591C">
        <w:rPr>
          <w:rFonts w:ascii="Arial" w:hAnsi="Arial" w:cs="Arial"/>
          <w:b/>
          <w:color w:val="00B050"/>
        </w:rPr>
        <w:t xml:space="preserve"> 1.40</w:t>
      </w:r>
      <w:r w:rsidR="0039742F">
        <w:rPr>
          <w:rFonts w:ascii="Arial" w:hAnsi="Arial" w:cs="Arial"/>
          <w:b/>
          <w:color w:val="00B050"/>
        </w:rPr>
        <w:t>.</w:t>
      </w:r>
    </w:p>
    <w:p w:rsidR="009B7574" w:rsidRPr="007810C3" w:rsidRDefault="009B7574" w:rsidP="00BE257A">
      <w:pPr>
        <w:jc w:val="both"/>
        <w:rPr>
          <w:rFonts w:ascii="Arial" w:hAnsi="Arial" w:cs="Arial"/>
          <w:b/>
          <w:color w:val="00B050"/>
        </w:rPr>
      </w:pPr>
    </w:p>
    <w:p w:rsidR="004A2834" w:rsidRDefault="004A2834" w:rsidP="00BE257A">
      <w:pPr>
        <w:jc w:val="both"/>
        <w:rPr>
          <w:rFonts w:ascii="Arial" w:hAnsi="Arial" w:cs="Arial"/>
          <w:b/>
          <w:color w:val="00B0F0"/>
        </w:rPr>
      </w:pPr>
    </w:p>
    <w:p w:rsidR="007A504D" w:rsidRDefault="007A504D" w:rsidP="00BE257A">
      <w:pPr>
        <w:jc w:val="both"/>
        <w:rPr>
          <w:rFonts w:ascii="Arial" w:hAnsi="Arial" w:cs="Arial"/>
          <w:b/>
          <w:color w:val="00B0F0"/>
        </w:rPr>
      </w:pPr>
    </w:p>
    <w:p w:rsidR="00147D5D" w:rsidRDefault="00147D5D" w:rsidP="00BE257A">
      <w:pPr>
        <w:jc w:val="both"/>
        <w:rPr>
          <w:rFonts w:ascii="Arial" w:hAnsi="Arial" w:cs="Arial"/>
          <w:b/>
          <w:color w:val="00B0F0"/>
        </w:rPr>
      </w:pPr>
    </w:p>
    <w:p w:rsidR="00147D5D" w:rsidRDefault="00147D5D" w:rsidP="00BE257A">
      <w:pPr>
        <w:jc w:val="both"/>
        <w:rPr>
          <w:rFonts w:ascii="Arial" w:hAnsi="Arial" w:cs="Arial"/>
          <w:b/>
          <w:color w:val="00B0F0"/>
        </w:rPr>
      </w:pPr>
    </w:p>
    <w:p w:rsidR="004D00CD" w:rsidRDefault="004D00CD" w:rsidP="00BE257A">
      <w:pPr>
        <w:jc w:val="both"/>
        <w:rPr>
          <w:rFonts w:ascii="Arial" w:hAnsi="Arial" w:cs="Arial"/>
          <w:b/>
          <w:color w:val="00B0F0"/>
        </w:rPr>
      </w:pPr>
    </w:p>
    <w:p w:rsidR="00F72829" w:rsidRPr="00592C7C" w:rsidRDefault="00F72829" w:rsidP="00BE257A">
      <w:pPr>
        <w:jc w:val="both"/>
        <w:rPr>
          <w:rFonts w:ascii="Arial" w:hAnsi="Arial" w:cs="Arial"/>
          <w:b/>
          <w:color w:val="00B050"/>
        </w:rPr>
      </w:pPr>
      <w:r w:rsidRPr="00A31477">
        <w:rPr>
          <w:rFonts w:ascii="Arial" w:hAnsi="Arial" w:cs="Arial"/>
          <w:b/>
          <w:bCs/>
          <w:color w:val="FF0000"/>
          <w:sz w:val="28"/>
          <w:szCs w:val="28"/>
        </w:rPr>
        <w:lastRenderedPageBreak/>
        <w:t xml:space="preserve">                         </w:t>
      </w:r>
      <w:r w:rsidR="006D7DCD" w:rsidRPr="00A31477">
        <w:rPr>
          <w:rFonts w:ascii="Arial" w:hAnsi="Arial" w:cs="Arial"/>
          <w:b/>
          <w:bCs/>
          <w:color w:val="FF0000"/>
          <w:sz w:val="28"/>
          <w:szCs w:val="28"/>
        </w:rPr>
        <w:t xml:space="preserve">         </w:t>
      </w:r>
      <w:r w:rsidRPr="00592C7C">
        <w:rPr>
          <w:rFonts w:ascii="Arial" w:hAnsi="Arial" w:cs="Arial"/>
          <w:b/>
          <w:bCs/>
          <w:sz w:val="36"/>
          <w:szCs w:val="36"/>
          <w:u w:val="single"/>
        </w:rPr>
        <w:t xml:space="preserve">10 ans </w:t>
      </w:r>
      <w:r w:rsidR="00A2391D" w:rsidRPr="00592C7C">
        <w:rPr>
          <w:rFonts w:ascii="Arial" w:hAnsi="Arial" w:cs="Arial"/>
          <w:b/>
          <w:bCs/>
          <w:sz w:val="36"/>
          <w:szCs w:val="36"/>
          <w:u w:val="single"/>
        </w:rPr>
        <w:t>JP</w:t>
      </w:r>
      <w:r w:rsidRPr="00592C7C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r w:rsidRPr="00592C7C">
        <w:rPr>
          <w:rFonts w:ascii="Arial" w:hAnsi="Arial" w:cs="Arial"/>
          <w:b/>
          <w:i/>
        </w:rPr>
        <w:t xml:space="preserve">                             </w:t>
      </w:r>
    </w:p>
    <w:p w:rsidR="008F1539" w:rsidRPr="00592C7C" w:rsidRDefault="008F1539" w:rsidP="008F1539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592C7C">
        <w:rPr>
          <w:rFonts w:ascii="Arial" w:hAnsi="Arial" w:cs="Arial"/>
          <w:b/>
          <w:bCs/>
          <w:sz w:val="28"/>
          <w:szCs w:val="28"/>
          <w:u w:val="single"/>
        </w:rPr>
        <w:t>Monthly</w:t>
      </w:r>
    </w:p>
    <w:p w:rsidR="00F72829" w:rsidRPr="00592C7C" w:rsidRDefault="00835055" w:rsidP="00B65AF1">
      <w:pPr>
        <w:ind w:left="-283"/>
        <w:jc w:val="both"/>
        <w:rPr>
          <w:rFonts w:ascii="Arial" w:hAnsi="Arial" w:cs="Arial"/>
          <w:b/>
          <w:bCs/>
          <w:color w:val="FF0000"/>
          <w:sz w:val="28"/>
          <w:szCs w:val="28"/>
          <w:u w:val="single"/>
        </w:rPr>
      </w:pPr>
      <w:r>
        <w:rPr>
          <w:rFonts w:ascii="Arial" w:hAnsi="Arial" w:cs="Arial"/>
          <w:b/>
          <w:bCs/>
          <w:noProof/>
          <w:color w:val="FF0000"/>
          <w:sz w:val="28"/>
          <w:szCs w:val="28"/>
          <w:u w:val="single"/>
        </w:rPr>
        <w:drawing>
          <wp:inline distT="0" distB="0" distL="0" distR="0">
            <wp:extent cx="6645606" cy="3962400"/>
            <wp:effectExtent l="0" t="0" r="3175" b="0"/>
            <wp:docPr id="11" name="Image 11" descr="C:\Temp\Bloomberg\temp\bfmA6E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Temp\Bloomberg\temp\bfmA6E3.bmp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9994" cy="3965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2829" w:rsidRPr="00C327E6" w:rsidRDefault="00F72829" w:rsidP="00F72829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C327E6">
        <w:rPr>
          <w:rFonts w:ascii="Arial" w:hAnsi="Arial" w:cs="Arial"/>
          <w:b/>
          <w:bCs/>
          <w:sz w:val="28"/>
          <w:szCs w:val="28"/>
          <w:u w:val="single"/>
        </w:rPr>
        <w:t>Weekly</w:t>
      </w:r>
    </w:p>
    <w:p w:rsidR="008F1539" w:rsidRPr="00C327E6" w:rsidRDefault="00835055" w:rsidP="00B65AF1">
      <w:pPr>
        <w:autoSpaceDE w:val="0"/>
        <w:autoSpaceDN w:val="0"/>
        <w:adjustRightInd w:val="0"/>
        <w:ind w:left="-283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6643943" cy="4610100"/>
            <wp:effectExtent l="0" t="0" r="5080" b="0"/>
            <wp:docPr id="12" name="Image 12" descr="C:\Temp\Bloomberg\temp\bfm24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Temp\Bloomberg\temp\bfm24D.bmp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3948" cy="4617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5055" w:rsidRPr="00147D5D" w:rsidRDefault="00AB09C6" w:rsidP="00147D5D">
      <w:pPr>
        <w:autoSpaceDE w:val="0"/>
        <w:autoSpaceDN w:val="0"/>
        <w:adjustRightInd w:val="0"/>
        <w:ind w:left="-850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C327E6">
        <w:rPr>
          <w:rFonts w:ascii="Arial" w:hAnsi="Arial" w:cs="Arial"/>
          <w:b/>
          <w:bCs/>
          <w:sz w:val="28"/>
          <w:szCs w:val="28"/>
        </w:rPr>
        <w:lastRenderedPageBreak/>
        <w:t xml:space="preserve">           </w:t>
      </w:r>
      <w:r w:rsidR="008F1539" w:rsidRPr="00C327E6">
        <w:rPr>
          <w:rFonts w:ascii="Arial" w:hAnsi="Arial" w:cs="Arial"/>
          <w:b/>
          <w:bCs/>
          <w:sz w:val="28"/>
          <w:szCs w:val="28"/>
          <w:u w:val="single"/>
        </w:rPr>
        <w:t>Daily</w:t>
      </w:r>
    </w:p>
    <w:p w:rsidR="00D15073" w:rsidRPr="00C327E6" w:rsidRDefault="00835055" w:rsidP="00B65AF1">
      <w:pPr>
        <w:autoSpaceDE w:val="0"/>
        <w:autoSpaceDN w:val="0"/>
        <w:adjustRightInd w:val="0"/>
        <w:ind w:left="-283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6645606" cy="4381500"/>
            <wp:effectExtent l="0" t="0" r="3175" b="0"/>
            <wp:docPr id="14" name="Image 14" descr="C:\Temp\Bloomberg\temp\bfm486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Temp\Bloomberg\temp\bfm4862.bmp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721" cy="4383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3BA0" w:rsidRPr="00C327E6" w:rsidRDefault="00843BA0" w:rsidP="008F1539">
      <w:pPr>
        <w:ind w:left="-850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:rsidR="00684087" w:rsidRPr="00513731" w:rsidRDefault="0034170D" w:rsidP="0034170D">
      <w:pPr>
        <w:jc w:val="both"/>
        <w:rPr>
          <w:rFonts w:ascii="Arial" w:hAnsi="Arial" w:cs="Arial"/>
          <w:b/>
          <w:bCs/>
        </w:rPr>
      </w:pPr>
      <w:r w:rsidRPr="00513731">
        <w:rPr>
          <w:rFonts w:ascii="Arial" w:hAnsi="Arial" w:cs="Arial"/>
          <w:b/>
          <w:bCs/>
        </w:rPr>
        <w:t>M :</w:t>
      </w:r>
      <w:r w:rsidR="00513731" w:rsidRPr="00513731">
        <w:rPr>
          <w:rFonts w:ascii="Arial" w:hAnsi="Arial" w:cs="Arial"/>
          <w:b/>
          <w:bCs/>
        </w:rPr>
        <w:t xml:space="preserve"> </w:t>
      </w:r>
      <w:r w:rsidR="00513731">
        <w:rPr>
          <w:rFonts w:ascii="Arial" w:hAnsi="Arial" w:cs="Arial"/>
          <w:b/>
          <w:bCs/>
        </w:rPr>
        <w:t xml:space="preserve">Le taux est venu chercher la borne basse de son nuage. La SSA se situera au cours du mois d’août sur 0.09. Le maintien du 10 ans JP </w:t>
      </w:r>
      <w:r w:rsidR="00436D1E">
        <w:rPr>
          <w:rFonts w:ascii="Arial" w:hAnsi="Arial" w:cs="Arial"/>
          <w:b/>
          <w:bCs/>
        </w:rPr>
        <w:t>au-dessus</w:t>
      </w:r>
      <w:r w:rsidR="00513731">
        <w:rPr>
          <w:rFonts w:ascii="Arial" w:hAnsi="Arial" w:cs="Arial"/>
          <w:b/>
          <w:bCs/>
        </w:rPr>
        <w:t xml:space="preserve"> de 0.09 donnera de l’espace au marché pour progresser </w:t>
      </w:r>
      <w:r w:rsidR="00CE3381">
        <w:rPr>
          <w:rFonts w:ascii="Arial" w:hAnsi="Arial" w:cs="Arial"/>
          <w:b/>
          <w:bCs/>
        </w:rPr>
        <w:t>en direction de la résistance</w:t>
      </w:r>
      <w:r w:rsidR="004D00CD">
        <w:rPr>
          <w:rFonts w:ascii="Arial" w:hAnsi="Arial" w:cs="Arial"/>
          <w:b/>
          <w:bCs/>
        </w:rPr>
        <w:t xml:space="preserve"> de 0.20,</w:t>
      </w:r>
      <w:r w:rsidR="00CE3381">
        <w:rPr>
          <w:rFonts w:ascii="Arial" w:hAnsi="Arial" w:cs="Arial"/>
          <w:b/>
          <w:bCs/>
        </w:rPr>
        <w:t xml:space="preserve"> matérialisée par </w:t>
      </w:r>
      <w:r w:rsidR="004D00CD">
        <w:rPr>
          <w:rFonts w:ascii="Arial" w:hAnsi="Arial" w:cs="Arial"/>
          <w:b/>
          <w:bCs/>
        </w:rPr>
        <w:t>le</w:t>
      </w:r>
      <w:r w:rsidR="00CE3381">
        <w:rPr>
          <w:rFonts w:ascii="Arial" w:hAnsi="Arial" w:cs="Arial"/>
          <w:b/>
          <w:bCs/>
        </w:rPr>
        <w:t xml:space="preserve"> plat de KS de la LS</w:t>
      </w:r>
      <w:r w:rsidR="004D00CD">
        <w:rPr>
          <w:rFonts w:ascii="Arial" w:hAnsi="Arial" w:cs="Arial"/>
          <w:b/>
          <w:bCs/>
        </w:rPr>
        <w:t>.</w:t>
      </w:r>
      <w:r w:rsidR="00CE3381">
        <w:rPr>
          <w:rFonts w:ascii="Arial" w:hAnsi="Arial" w:cs="Arial"/>
          <w:b/>
          <w:bCs/>
        </w:rPr>
        <w:t xml:space="preserve"> </w:t>
      </w:r>
    </w:p>
    <w:p w:rsidR="0034170D" w:rsidRPr="00513731" w:rsidRDefault="0034170D" w:rsidP="0034170D">
      <w:pPr>
        <w:jc w:val="both"/>
        <w:rPr>
          <w:rFonts w:ascii="Tahoma" w:hAnsi="Tahoma" w:cs="Tahoma"/>
          <w:bCs/>
        </w:rPr>
      </w:pPr>
      <w:r w:rsidRPr="00513731">
        <w:rPr>
          <w:rFonts w:ascii="Tahoma" w:hAnsi="Tahoma" w:cs="Tahoma"/>
          <w:bCs/>
        </w:rPr>
        <w:t xml:space="preserve">  </w:t>
      </w:r>
    </w:p>
    <w:p w:rsidR="00D67E50" w:rsidRDefault="0034170D" w:rsidP="0034170D">
      <w:pPr>
        <w:jc w:val="both"/>
        <w:rPr>
          <w:rFonts w:ascii="Arial" w:hAnsi="Arial" w:cs="Arial"/>
          <w:b/>
          <w:bCs/>
        </w:rPr>
      </w:pPr>
      <w:r w:rsidRPr="00D724BF">
        <w:rPr>
          <w:rFonts w:ascii="Arial" w:hAnsi="Arial" w:cs="Arial"/>
          <w:b/>
          <w:bCs/>
        </w:rPr>
        <w:t xml:space="preserve">W : </w:t>
      </w:r>
      <w:r w:rsidR="007A6DB7">
        <w:rPr>
          <w:rFonts w:ascii="Arial" w:hAnsi="Arial" w:cs="Arial"/>
          <w:b/>
          <w:bCs/>
        </w:rPr>
        <w:t xml:space="preserve">La poursuite de la hausse sera conditionnée par maintien du 10 ans </w:t>
      </w:r>
      <w:r w:rsidR="00255426">
        <w:rPr>
          <w:rFonts w:ascii="Arial" w:hAnsi="Arial" w:cs="Arial"/>
          <w:b/>
          <w:bCs/>
        </w:rPr>
        <w:t>au-dessus</w:t>
      </w:r>
      <w:r w:rsidR="007A6DB7">
        <w:rPr>
          <w:rFonts w:ascii="Arial" w:hAnsi="Arial" w:cs="Arial"/>
          <w:b/>
          <w:bCs/>
        </w:rPr>
        <w:t xml:space="preserve"> des plats de TS et de KS </w:t>
      </w:r>
      <w:r w:rsidR="00DC68EA">
        <w:rPr>
          <w:rFonts w:ascii="Arial" w:hAnsi="Arial" w:cs="Arial"/>
          <w:b/>
          <w:bCs/>
        </w:rPr>
        <w:t>de</w:t>
      </w:r>
      <w:r w:rsidR="007A6DB7">
        <w:rPr>
          <w:rFonts w:ascii="Arial" w:hAnsi="Arial" w:cs="Arial"/>
          <w:b/>
          <w:bCs/>
        </w:rPr>
        <w:t xml:space="preserve"> 0.08. Ces plats servent de support</w:t>
      </w:r>
      <w:r w:rsidR="00DC68EA">
        <w:rPr>
          <w:rFonts w:ascii="Arial" w:hAnsi="Arial" w:cs="Arial"/>
          <w:b/>
          <w:bCs/>
        </w:rPr>
        <w:t>s</w:t>
      </w:r>
      <w:r w:rsidR="007A6DB7">
        <w:rPr>
          <w:rFonts w:ascii="Arial" w:hAnsi="Arial" w:cs="Arial"/>
          <w:b/>
          <w:bCs/>
        </w:rPr>
        <w:t xml:space="preserve">. La rupture de 0.08 indiquera que le marché </w:t>
      </w:r>
      <w:r w:rsidR="00DC68EA">
        <w:rPr>
          <w:rFonts w:ascii="Arial" w:hAnsi="Arial" w:cs="Arial"/>
          <w:b/>
          <w:bCs/>
        </w:rPr>
        <w:t xml:space="preserve">n’est pas encore la force pour </w:t>
      </w:r>
      <w:r w:rsidR="007B5FAA">
        <w:rPr>
          <w:rFonts w:ascii="Arial" w:hAnsi="Arial" w:cs="Arial"/>
          <w:b/>
          <w:bCs/>
        </w:rPr>
        <w:t>revenir sur la résistance de 0.20. Une nouvelle phase de consolidation sera alors probable.</w:t>
      </w:r>
      <w:r w:rsidR="007A6DB7">
        <w:rPr>
          <w:rFonts w:ascii="Arial" w:hAnsi="Arial" w:cs="Arial"/>
          <w:b/>
          <w:bCs/>
        </w:rPr>
        <w:t xml:space="preserve"> </w:t>
      </w:r>
    </w:p>
    <w:p w:rsidR="00684087" w:rsidRPr="00D724BF" w:rsidRDefault="00684087" w:rsidP="0034170D">
      <w:pPr>
        <w:jc w:val="both"/>
        <w:rPr>
          <w:rFonts w:ascii="Arial" w:hAnsi="Arial" w:cs="Arial"/>
          <w:b/>
          <w:bCs/>
        </w:rPr>
      </w:pPr>
    </w:p>
    <w:p w:rsidR="00684087" w:rsidRPr="00BC73E5" w:rsidRDefault="0034170D" w:rsidP="0034170D">
      <w:pPr>
        <w:jc w:val="both"/>
        <w:rPr>
          <w:rFonts w:ascii="Tahoma" w:hAnsi="Tahoma" w:cs="Tahoma"/>
          <w:bCs/>
        </w:rPr>
      </w:pPr>
      <w:r w:rsidRPr="00D724BF">
        <w:rPr>
          <w:rFonts w:ascii="Arial" w:hAnsi="Arial" w:cs="Arial"/>
          <w:b/>
          <w:bCs/>
        </w:rPr>
        <w:t xml:space="preserve">D : </w:t>
      </w:r>
      <w:r w:rsidR="007B5FAA">
        <w:rPr>
          <w:rFonts w:ascii="Arial" w:hAnsi="Arial" w:cs="Arial"/>
          <w:b/>
          <w:bCs/>
        </w:rPr>
        <w:t xml:space="preserve">Sur cette unité de temps, le plat </w:t>
      </w:r>
      <w:r w:rsidR="00DC68EA">
        <w:rPr>
          <w:rFonts w:ascii="Arial" w:hAnsi="Arial" w:cs="Arial"/>
          <w:b/>
          <w:bCs/>
        </w:rPr>
        <w:t xml:space="preserve">de </w:t>
      </w:r>
      <w:r w:rsidR="007B5FAA">
        <w:rPr>
          <w:rFonts w:ascii="Arial" w:hAnsi="Arial" w:cs="Arial"/>
          <w:b/>
          <w:bCs/>
        </w:rPr>
        <w:t>KS renforce le support de 0.08. Les nombreux plats qui se développent en Daily indique</w:t>
      </w:r>
      <w:r w:rsidR="00DC68EA">
        <w:rPr>
          <w:rFonts w:ascii="Arial" w:hAnsi="Arial" w:cs="Arial"/>
          <w:b/>
          <w:bCs/>
        </w:rPr>
        <w:t>nt</w:t>
      </w:r>
      <w:r w:rsidR="007B5FAA">
        <w:rPr>
          <w:rFonts w:ascii="Arial" w:hAnsi="Arial" w:cs="Arial"/>
          <w:b/>
          <w:bCs/>
        </w:rPr>
        <w:t xml:space="preserve"> que le marché n’est pas en tendance.</w:t>
      </w:r>
      <w:r w:rsidR="00581757">
        <w:rPr>
          <w:rFonts w:ascii="Arial" w:hAnsi="Arial" w:cs="Arial"/>
          <w:b/>
          <w:bCs/>
        </w:rPr>
        <w:t xml:space="preserve"> Un maintien du taux </w:t>
      </w:r>
      <w:r w:rsidR="00255426">
        <w:rPr>
          <w:rFonts w:ascii="Arial" w:hAnsi="Arial" w:cs="Arial"/>
          <w:b/>
          <w:bCs/>
        </w:rPr>
        <w:t>au-dessus</w:t>
      </w:r>
      <w:r w:rsidR="00581757">
        <w:rPr>
          <w:rFonts w:ascii="Arial" w:hAnsi="Arial" w:cs="Arial"/>
          <w:b/>
          <w:bCs/>
        </w:rPr>
        <w:t xml:space="preserve"> de 0.08 sera </w:t>
      </w:r>
      <w:r w:rsidR="00255426">
        <w:rPr>
          <w:rFonts w:ascii="Arial" w:hAnsi="Arial" w:cs="Arial"/>
          <w:b/>
          <w:bCs/>
        </w:rPr>
        <w:t>nécessaire</w:t>
      </w:r>
      <w:r w:rsidR="00581757">
        <w:rPr>
          <w:rFonts w:ascii="Arial" w:hAnsi="Arial" w:cs="Arial"/>
          <w:b/>
          <w:bCs/>
        </w:rPr>
        <w:t xml:space="preserve"> pour continuer à avantager le biais haussier. </w:t>
      </w:r>
    </w:p>
    <w:p w:rsidR="0034170D" w:rsidRDefault="0034170D" w:rsidP="0034170D">
      <w:pPr>
        <w:jc w:val="both"/>
        <w:rPr>
          <w:rFonts w:ascii="Arial" w:hAnsi="Arial" w:cs="Arial"/>
          <w:color w:val="FF0000"/>
        </w:rPr>
      </w:pPr>
    </w:p>
    <w:p w:rsidR="00DC68EA" w:rsidRDefault="00DC68EA" w:rsidP="0034170D">
      <w:pPr>
        <w:jc w:val="both"/>
        <w:rPr>
          <w:rFonts w:ascii="Arial" w:hAnsi="Arial" w:cs="Arial"/>
          <w:color w:val="FF0000"/>
        </w:rPr>
      </w:pPr>
    </w:p>
    <w:p w:rsidR="00DC68EA" w:rsidRPr="007A5656" w:rsidRDefault="00DC68EA" w:rsidP="0034170D">
      <w:pPr>
        <w:jc w:val="both"/>
        <w:rPr>
          <w:rFonts w:ascii="Arial" w:hAnsi="Arial" w:cs="Arial"/>
          <w:color w:val="FF0000"/>
        </w:rPr>
      </w:pPr>
    </w:p>
    <w:p w:rsidR="0034170D" w:rsidRPr="00581757" w:rsidRDefault="0034170D" w:rsidP="0034170D">
      <w:pPr>
        <w:jc w:val="both"/>
        <w:rPr>
          <w:rFonts w:ascii="Arial" w:hAnsi="Arial" w:cs="Arial"/>
          <w:b/>
          <w:color w:val="00B050"/>
        </w:rPr>
      </w:pPr>
      <w:r w:rsidRPr="00581757">
        <w:rPr>
          <w:rFonts w:ascii="Arial" w:hAnsi="Arial" w:cs="Arial"/>
          <w:b/>
          <w:color w:val="00B050"/>
          <w:u w:val="single"/>
        </w:rPr>
        <w:t>HEBDOMADAIRE</w:t>
      </w:r>
      <w:r w:rsidRPr="00581757">
        <w:rPr>
          <w:rFonts w:ascii="Arial" w:hAnsi="Arial" w:cs="Arial"/>
          <w:b/>
          <w:color w:val="00B050"/>
        </w:rPr>
        <w:t xml:space="preserve"> : </w:t>
      </w:r>
      <w:r w:rsidR="00A72D9E" w:rsidRPr="00581757">
        <w:rPr>
          <w:rFonts w:ascii="Arial" w:hAnsi="Arial" w:cs="Arial"/>
          <w:b/>
          <w:color w:val="00B050"/>
        </w:rPr>
        <w:t xml:space="preserve">La poursuite de la hausse sera conditionnée par un maintien du 10 ans JP </w:t>
      </w:r>
      <w:r w:rsidR="00436D1E" w:rsidRPr="00581757">
        <w:rPr>
          <w:rFonts w:ascii="Arial" w:hAnsi="Arial" w:cs="Arial"/>
          <w:b/>
          <w:color w:val="00B050"/>
        </w:rPr>
        <w:t>au-dessus</w:t>
      </w:r>
      <w:r w:rsidR="00A72D9E" w:rsidRPr="00581757">
        <w:rPr>
          <w:rFonts w:ascii="Arial" w:hAnsi="Arial" w:cs="Arial"/>
          <w:b/>
          <w:color w:val="00B050"/>
        </w:rPr>
        <w:t xml:space="preserve"> de +0.08.</w:t>
      </w:r>
      <w:r w:rsidRPr="00581757">
        <w:rPr>
          <w:rFonts w:ascii="Arial" w:hAnsi="Arial" w:cs="Arial"/>
          <w:b/>
          <w:color w:val="00B050"/>
        </w:rPr>
        <w:t xml:space="preserve"> </w:t>
      </w:r>
    </w:p>
    <w:p w:rsidR="009B7574" w:rsidRDefault="009B7574" w:rsidP="00292AF0">
      <w:pPr>
        <w:jc w:val="both"/>
        <w:rPr>
          <w:rFonts w:ascii="Arial" w:hAnsi="Arial" w:cs="Arial"/>
          <w:b/>
          <w:color w:val="FF0000"/>
        </w:rPr>
      </w:pPr>
    </w:p>
    <w:p w:rsidR="00147D5D" w:rsidRDefault="0006091F" w:rsidP="00292AF0">
      <w:pPr>
        <w:jc w:val="both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 xml:space="preserve">                   </w:t>
      </w:r>
    </w:p>
    <w:p w:rsidR="00147D5D" w:rsidRPr="0006091F" w:rsidRDefault="00147D5D" w:rsidP="00292AF0">
      <w:pPr>
        <w:jc w:val="both"/>
        <w:rPr>
          <w:rFonts w:ascii="Arial" w:hAnsi="Arial" w:cs="Arial"/>
          <w:b/>
          <w:bCs/>
          <w:sz w:val="36"/>
          <w:szCs w:val="36"/>
        </w:rPr>
      </w:pPr>
    </w:p>
    <w:p w:rsidR="00F72829" w:rsidRPr="00B805BF" w:rsidRDefault="00F72829" w:rsidP="00F72829">
      <w:pPr>
        <w:jc w:val="both"/>
        <w:rPr>
          <w:rFonts w:ascii="Arial" w:eastAsia="Calibri" w:hAnsi="Arial" w:cs="Arial"/>
          <w:b/>
          <w:sz w:val="28"/>
          <w:szCs w:val="28"/>
          <w:u w:val="single"/>
        </w:rPr>
      </w:pPr>
      <w:r>
        <w:rPr>
          <w:rFonts w:ascii="Arial" w:eastAsia="Calibri" w:hAnsi="Arial" w:cs="Arial"/>
          <w:b/>
          <w:color w:val="FF0000"/>
          <w:sz w:val="22"/>
          <w:szCs w:val="22"/>
        </w:rPr>
        <w:t xml:space="preserve">  </w:t>
      </w:r>
      <w:r w:rsidRPr="00B805BF">
        <w:rPr>
          <w:rFonts w:ascii="Arial" w:eastAsia="Calibri" w:hAnsi="Arial" w:cs="Arial"/>
          <w:b/>
          <w:color w:val="FF0000"/>
          <w:sz w:val="22"/>
          <w:szCs w:val="22"/>
        </w:rPr>
        <w:t xml:space="preserve">                                                   </w:t>
      </w:r>
      <w:r w:rsidRPr="00B805BF">
        <w:rPr>
          <w:rFonts w:ascii="Arial" w:eastAsia="Calibri" w:hAnsi="Arial" w:cs="Arial"/>
          <w:b/>
          <w:sz w:val="28"/>
          <w:szCs w:val="28"/>
          <w:u w:val="single"/>
        </w:rPr>
        <w:t xml:space="preserve">ATTAL JEAN-LUC </w:t>
      </w:r>
    </w:p>
    <w:p w:rsidR="00F72829" w:rsidRDefault="00F72829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  <w:r w:rsidRPr="00B805BF">
        <w:rPr>
          <w:rFonts w:ascii="Arial" w:eastAsia="Calibri" w:hAnsi="Arial" w:cs="Arial"/>
          <w:i/>
          <w:sz w:val="22"/>
          <w:szCs w:val="22"/>
        </w:rPr>
        <w:t xml:space="preserve">                       </w:t>
      </w:r>
      <w:r>
        <w:rPr>
          <w:rFonts w:ascii="Arial" w:eastAsia="Calibri" w:hAnsi="Arial" w:cs="Arial"/>
          <w:i/>
          <w:sz w:val="22"/>
          <w:szCs w:val="22"/>
        </w:rPr>
        <w:t xml:space="preserve">                       </w:t>
      </w:r>
      <w:r w:rsidRPr="00B805BF">
        <w:rPr>
          <w:rFonts w:ascii="Arial" w:eastAsia="Calibri" w:hAnsi="Arial" w:cs="Arial"/>
          <w:i/>
          <w:sz w:val="22"/>
          <w:szCs w:val="22"/>
        </w:rPr>
        <w:t>(</w:t>
      </w:r>
      <w:r>
        <w:rPr>
          <w:rFonts w:ascii="Arial" w:eastAsia="Calibri" w:hAnsi="Arial" w:cs="Arial"/>
          <w:i/>
          <w:sz w:val="22"/>
          <w:szCs w:val="22"/>
        </w:rPr>
        <w:t>Définition</w:t>
      </w:r>
      <w:r w:rsidRPr="00B805BF">
        <w:rPr>
          <w:rFonts w:ascii="Arial" w:eastAsia="Calibri" w:hAnsi="Arial" w:cs="Arial"/>
          <w:i/>
          <w:sz w:val="22"/>
          <w:szCs w:val="22"/>
        </w:rPr>
        <w:t xml:space="preserve"> des termes</w:t>
      </w:r>
      <w:r>
        <w:rPr>
          <w:rFonts w:ascii="Arial" w:eastAsia="Calibri" w:hAnsi="Arial" w:cs="Arial"/>
          <w:i/>
          <w:sz w:val="22"/>
          <w:szCs w:val="22"/>
        </w:rPr>
        <w:t xml:space="preserve"> page suivante</w:t>
      </w:r>
      <w:r w:rsidRPr="00B805BF">
        <w:rPr>
          <w:rFonts w:ascii="Arial" w:eastAsia="Calibri" w:hAnsi="Arial" w:cs="Arial"/>
          <w:i/>
          <w:sz w:val="22"/>
          <w:szCs w:val="22"/>
        </w:rPr>
        <w:t>)</w:t>
      </w:r>
      <w:bookmarkStart w:id="2" w:name="_GoBack"/>
      <w:bookmarkEnd w:id="2"/>
    </w:p>
    <w:p w:rsidR="00147D5D" w:rsidRDefault="00147D5D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  <w:color w:val="993366"/>
        </w:rPr>
        <w:lastRenderedPageBreak/>
        <w:t>TS (mauve)</w:t>
      </w:r>
      <w:r>
        <w:rPr>
          <w:rFonts w:ascii="Arial" w:eastAsia="Calibri" w:hAnsi="Arial" w:cs="Arial"/>
          <w:b/>
          <w:i/>
        </w:rPr>
        <w:t xml:space="preserve"> =  </w:t>
      </w:r>
      <w:r>
        <w:rPr>
          <w:rFonts w:ascii="Arial" w:eastAsia="Calibri" w:hAnsi="Arial" w:cs="Arial"/>
          <w:b/>
          <w:i/>
          <w:u w:val="single"/>
        </w:rPr>
        <w:t>plus haut + plus bas</w:t>
      </w:r>
      <w:r>
        <w:rPr>
          <w:rFonts w:ascii="Arial" w:eastAsia="Calibri" w:hAnsi="Arial" w:cs="Arial"/>
          <w:b/>
          <w:i/>
        </w:rPr>
        <w:t xml:space="preserve">                    sur les 9 dernières périodes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 xml:space="preserve">                                   2  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  <w:color w:val="008000"/>
        </w:rPr>
        <w:t>KS (vert)</w:t>
      </w:r>
      <w:r>
        <w:rPr>
          <w:rFonts w:ascii="Arial" w:eastAsia="Calibri" w:hAnsi="Arial" w:cs="Arial"/>
          <w:b/>
          <w:i/>
        </w:rPr>
        <w:t xml:space="preserve"> = </w:t>
      </w:r>
      <w:r>
        <w:rPr>
          <w:rFonts w:ascii="Arial" w:eastAsia="Calibri" w:hAnsi="Arial" w:cs="Arial"/>
          <w:b/>
          <w:i/>
          <w:u w:val="single"/>
        </w:rPr>
        <w:t>plus haut + plus bas</w:t>
      </w:r>
      <w:r>
        <w:rPr>
          <w:rFonts w:ascii="Arial" w:eastAsia="Calibri" w:hAnsi="Arial" w:cs="Arial"/>
          <w:b/>
          <w:i/>
        </w:rPr>
        <w:t xml:space="preserve">                          sur les 26 dernières périodes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 xml:space="preserve">                                   2  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  <w:color w:val="FF6600"/>
        </w:rPr>
        <w:t>LS (orange)</w:t>
      </w:r>
      <w:r>
        <w:rPr>
          <w:rFonts w:ascii="Arial" w:eastAsia="Calibri" w:hAnsi="Arial" w:cs="Arial"/>
          <w:b/>
          <w:i/>
        </w:rPr>
        <w:t xml:space="preserve"> = clôture                                           décalée de 26 périodes en arrière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 xml:space="preserve">SSA (bordure du nuage) =   </w:t>
      </w:r>
      <w:r>
        <w:rPr>
          <w:rFonts w:ascii="Arial" w:eastAsia="Calibri" w:hAnsi="Arial" w:cs="Arial"/>
          <w:b/>
          <w:i/>
          <w:u w:val="single"/>
        </w:rPr>
        <w:t>TS + KS</w:t>
      </w:r>
      <w:r>
        <w:rPr>
          <w:rFonts w:ascii="Arial" w:eastAsia="Calibri" w:hAnsi="Arial" w:cs="Arial"/>
          <w:b/>
          <w:i/>
        </w:rPr>
        <w:t xml:space="preserve">                   projetée 26 périodes en avant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 xml:space="preserve">                                                 2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  <w:u w:val="single"/>
        </w:rPr>
      </w:pPr>
      <w:r>
        <w:rPr>
          <w:rFonts w:ascii="Arial" w:eastAsia="Calibri" w:hAnsi="Arial" w:cs="Arial"/>
          <w:b/>
          <w:i/>
        </w:rPr>
        <w:t xml:space="preserve">SSB (bordure opposée du nuage) = </w:t>
      </w:r>
      <w:r>
        <w:rPr>
          <w:rFonts w:ascii="Arial" w:eastAsia="Calibri" w:hAnsi="Arial" w:cs="Arial"/>
          <w:b/>
          <w:i/>
          <w:u w:val="single"/>
        </w:rPr>
        <w:t>plus haut + plus bas</w:t>
      </w:r>
      <w:r>
        <w:rPr>
          <w:rFonts w:ascii="Arial" w:eastAsia="Calibri" w:hAnsi="Arial" w:cs="Arial"/>
          <w:b/>
          <w:i/>
        </w:rPr>
        <w:t xml:space="preserve">      sur les 52 dernières 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 xml:space="preserve">                                                                        2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>Périodes, projetées 26 périodes en avant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  <w:u w:val="single"/>
        </w:rPr>
        <w:t>Unités de temps</w:t>
      </w:r>
      <w:r>
        <w:rPr>
          <w:rFonts w:ascii="Arial" w:eastAsia="Calibri" w:hAnsi="Arial" w:cs="Arial"/>
          <w:b/>
        </w:rPr>
        <w:t> : M    Monthly</w:t>
      </w:r>
    </w:p>
    <w:p w:rsidR="00F72829" w:rsidRDefault="00F72829" w:rsidP="00F72829">
      <w:pPr>
        <w:jc w:val="both"/>
        <w:rPr>
          <w:rFonts w:ascii="Arial" w:eastAsia="Calibri" w:hAnsi="Arial" w:cs="Arial"/>
          <w:b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 xml:space="preserve">                             W    Weekly</w:t>
      </w:r>
    </w:p>
    <w:p w:rsidR="00F72829" w:rsidRDefault="00F72829" w:rsidP="00F72829">
      <w:pPr>
        <w:jc w:val="both"/>
        <w:rPr>
          <w:rFonts w:ascii="Arial" w:eastAsia="Calibri" w:hAnsi="Arial" w:cs="Arial"/>
          <w:b/>
        </w:rPr>
      </w:pPr>
    </w:p>
    <w:p w:rsidR="00DC295E" w:rsidRPr="00AD7F6F" w:rsidRDefault="00F72829" w:rsidP="00AD7F6F">
      <w:pPr>
        <w:jc w:val="both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 xml:space="preserve">                             D     Daily</w:t>
      </w:r>
      <w:bookmarkEnd w:id="0"/>
    </w:p>
    <w:sectPr w:rsidR="00DC295E" w:rsidRPr="00AD7F6F" w:rsidSect="00B65AF1">
      <w:footerReference w:type="default" r:id="rId20"/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2B82" w:rsidRDefault="00AD2B82" w:rsidP="00632EAA">
      <w:r>
        <w:separator/>
      </w:r>
    </w:p>
  </w:endnote>
  <w:endnote w:type="continuationSeparator" w:id="0">
    <w:p w:rsidR="00AD2B82" w:rsidRDefault="00AD2B82" w:rsidP="00632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89776680"/>
      <w:docPartObj>
        <w:docPartGallery w:val="Page Numbers (Bottom of Page)"/>
        <w:docPartUnique/>
      </w:docPartObj>
    </w:sdtPr>
    <w:sdtContent>
      <w:p w:rsidR="009F2B86" w:rsidRDefault="009F2B86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8</w:t>
        </w:r>
        <w:r>
          <w:fldChar w:fldCharType="end"/>
        </w:r>
      </w:p>
    </w:sdtContent>
  </w:sdt>
  <w:p w:rsidR="00AD2B82" w:rsidRDefault="00AD2B82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2B82" w:rsidRDefault="00AD2B82" w:rsidP="00632EAA">
      <w:r>
        <w:separator/>
      </w:r>
    </w:p>
  </w:footnote>
  <w:footnote w:type="continuationSeparator" w:id="0">
    <w:p w:rsidR="00AD2B82" w:rsidRDefault="00AD2B82" w:rsidP="00632E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C674AF"/>
    <w:multiLevelType w:val="hybridMultilevel"/>
    <w:tmpl w:val="D9866AE2"/>
    <w:lvl w:ilvl="0" w:tplc="0814645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082D97"/>
    <w:multiLevelType w:val="hybridMultilevel"/>
    <w:tmpl w:val="596CEFAC"/>
    <w:lvl w:ilvl="0" w:tplc="C878320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1442B4"/>
    <w:multiLevelType w:val="hybridMultilevel"/>
    <w:tmpl w:val="3946859E"/>
    <w:lvl w:ilvl="0" w:tplc="3AEA8894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77BF0"/>
    <w:multiLevelType w:val="hybridMultilevel"/>
    <w:tmpl w:val="04D84BF4"/>
    <w:lvl w:ilvl="0" w:tplc="3ED6F582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5A1DE7"/>
    <w:multiLevelType w:val="hybridMultilevel"/>
    <w:tmpl w:val="D400A19A"/>
    <w:lvl w:ilvl="0" w:tplc="DE6A31E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8377E9"/>
    <w:multiLevelType w:val="hybridMultilevel"/>
    <w:tmpl w:val="9E604F46"/>
    <w:lvl w:ilvl="0" w:tplc="0EEA88A4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147C44"/>
    <w:multiLevelType w:val="hybridMultilevel"/>
    <w:tmpl w:val="23F25FDA"/>
    <w:lvl w:ilvl="0" w:tplc="01186F8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E50F98"/>
    <w:multiLevelType w:val="hybridMultilevel"/>
    <w:tmpl w:val="210C1F4C"/>
    <w:lvl w:ilvl="0" w:tplc="0858821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31305"/>
    <w:multiLevelType w:val="hybridMultilevel"/>
    <w:tmpl w:val="A76A1678"/>
    <w:lvl w:ilvl="0" w:tplc="95520F0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1"/>
  </w:num>
  <w:num w:numId="5">
    <w:abstractNumId w:val="2"/>
  </w:num>
  <w:num w:numId="6">
    <w:abstractNumId w:val="5"/>
  </w:num>
  <w:num w:numId="7">
    <w:abstractNumId w:val="7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hdrShapeDefaults>
    <o:shapedefaults v:ext="edit" spidmax="157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EAA"/>
    <w:rsid w:val="000043C9"/>
    <w:rsid w:val="00006573"/>
    <w:rsid w:val="00011200"/>
    <w:rsid w:val="00015DE9"/>
    <w:rsid w:val="00024342"/>
    <w:rsid w:val="00031AE3"/>
    <w:rsid w:val="00031D2A"/>
    <w:rsid w:val="000341AC"/>
    <w:rsid w:val="000403B1"/>
    <w:rsid w:val="00040784"/>
    <w:rsid w:val="00040AE9"/>
    <w:rsid w:val="000412FF"/>
    <w:rsid w:val="00041F25"/>
    <w:rsid w:val="00050AE9"/>
    <w:rsid w:val="0005450A"/>
    <w:rsid w:val="0006069D"/>
    <w:rsid w:val="0006091F"/>
    <w:rsid w:val="0006167C"/>
    <w:rsid w:val="00063DD8"/>
    <w:rsid w:val="000641C0"/>
    <w:rsid w:val="00067109"/>
    <w:rsid w:val="000679AC"/>
    <w:rsid w:val="00077732"/>
    <w:rsid w:val="00082509"/>
    <w:rsid w:val="000874DF"/>
    <w:rsid w:val="00090B79"/>
    <w:rsid w:val="00093D02"/>
    <w:rsid w:val="00094EB3"/>
    <w:rsid w:val="0009578D"/>
    <w:rsid w:val="0009601D"/>
    <w:rsid w:val="000A2FB6"/>
    <w:rsid w:val="000A3D69"/>
    <w:rsid w:val="000A4A04"/>
    <w:rsid w:val="000A5ED9"/>
    <w:rsid w:val="000A6EFA"/>
    <w:rsid w:val="000B156B"/>
    <w:rsid w:val="000B6EB6"/>
    <w:rsid w:val="000B6ECC"/>
    <w:rsid w:val="000B7E03"/>
    <w:rsid w:val="000C4889"/>
    <w:rsid w:val="000C5427"/>
    <w:rsid w:val="000C5BCC"/>
    <w:rsid w:val="000C702C"/>
    <w:rsid w:val="000D17A4"/>
    <w:rsid w:val="000D21A7"/>
    <w:rsid w:val="000D268A"/>
    <w:rsid w:val="000D4E0C"/>
    <w:rsid w:val="000D6642"/>
    <w:rsid w:val="000D6D9D"/>
    <w:rsid w:val="000D72F9"/>
    <w:rsid w:val="000D7ED2"/>
    <w:rsid w:val="000E4AFF"/>
    <w:rsid w:val="000E52E1"/>
    <w:rsid w:val="000E620B"/>
    <w:rsid w:val="000E65BF"/>
    <w:rsid w:val="000F109D"/>
    <w:rsid w:val="000F565E"/>
    <w:rsid w:val="000F6BBB"/>
    <w:rsid w:val="000F7250"/>
    <w:rsid w:val="000F7495"/>
    <w:rsid w:val="00100473"/>
    <w:rsid w:val="001017C5"/>
    <w:rsid w:val="00101F48"/>
    <w:rsid w:val="00104E12"/>
    <w:rsid w:val="0010583E"/>
    <w:rsid w:val="00112363"/>
    <w:rsid w:val="001155DC"/>
    <w:rsid w:val="00116E2A"/>
    <w:rsid w:val="00124CE0"/>
    <w:rsid w:val="0012530F"/>
    <w:rsid w:val="001259C9"/>
    <w:rsid w:val="0012750D"/>
    <w:rsid w:val="00134724"/>
    <w:rsid w:val="00140752"/>
    <w:rsid w:val="00141BFC"/>
    <w:rsid w:val="00141F36"/>
    <w:rsid w:val="001420E9"/>
    <w:rsid w:val="00142231"/>
    <w:rsid w:val="00145281"/>
    <w:rsid w:val="00147646"/>
    <w:rsid w:val="00147D5D"/>
    <w:rsid w:val="00151611"/>
    <w:rsid w:val="00151A43"/>
    <w:rsid w:val="00152500"/>
    <w:rsid w:val="00152726"/>
    <w:rsid w:val="001562F5"/>
    <w:rsid w:val="00170414"/>
    <w:rsid w:val="0017044D"/>
    <w:rsid w:val="0017255A"/>
    <w:rsid w:val="00174112"/>
    <w:rsid w:val="001745D7"/>
    <w:rsid w:val="00174D90"/>
    <w:rsid w:val="001758CA"/>
    <w:rsid w:val="00175D7D"/>
    <w:rsid w:val="001802ED"/>
    <w:rsid w:val="00181729"/>
    <w:rsid w:val="00181C36"/>
    <w:rsid w:val="0018460F"/>
    <w:rsid w:val="001900F2"/>
    <w:rsid w:val="001929A4"/>
    <w:rsid w:val="001938B1"/>
    <w:rsid w:val="0019448F"/>
    <w:rsid w:val="0019471F"/>
    <w:rsid w:val="00194BF8"/>
    <w:rsid w:val="00196168"/>
    <w:rsid w:val="00197753"/>
    <w:rsid w:val="001A7163"/>
    <w:rsid w:val="001B1120"/>
    <w:rsid w:val="001B1B61"/>
    <w:rsid w:val="001B313E"/>
    <w:rsid w:val="001C0911"/>
    <w:rsid w:val="001C0A29"/>
    <w:rsid w:val="001C1C7A"/>
    <w:rsid w:val="001C3B4A"/>
    <w:rsid w:val="001C6728"/>
    <w:rsid w:val="001D21C0"/>
    <w:rsid w:val="001D2CFB"/>
    <w:rsid w:val="001E49F1"/>
    <w:rsid w:val="001E4E26"/>
    <w:rsid w:val="001E796F"/>
    <w:rsid w:val="001E7AFE"/>
    <w:rsid w:val="001E7C78"/>
    <w:rsid w:val="001F0E5F"/>
    <w:rsid w:val="001F42E0"/>
    <w:rsid w:val="001F4F7F"/>
    <w:rsid w:val="002000EA"/>
    <w:rsid w:val="00201C31"/>
    <w:rsid w:val="00203583"/>
    <w:rsid w:val="00206C2A"/>
    <w:rsid w:val="002078BB"/>
    <w:rsid w:val="00207BD5"/>
    <w:rsid w:val="002110BC"/>
    <w:rsid w:val="0021328A"/>
    <w:rsid w:val="00216FF9"/>
    <w:rsid w:val="00222827"/>
    <w:rsid w:val="00226C24"/>
    <w:rsid w:val="002308C6"/>
    <w:rsid w:val="00230B15"/>
    <w:rsid w:val="00233557"/>
    <w:rsid w:val="00235DEB"/>
    <w:rsid w:val="0023751E"/>
    <w:rsid w:val="002412DD"/>
    <w:rsid w:val="002505D9"/>
    <w:rsid w:val="002506D7"/>
    <w:rsid w:val="002525D8"/>
    <w:rsid w:val="0025315D"/>
    <w:rsid w:val="00254989"/>
    <w:rsid w:val="00255426"/>
    <w:rsid w:val="00256885"/>
    <w:rsid w:val="00260D05"/>
    <w:rsid w:val="002611C1"/>
    <w:rsid w:val="002637F2"/>
    <w:rsid w:val="00264CE5"/>
    <w:rsid w:val="00264E54"/>
    <w:rsid w:val="00264ECA"/>
    <w:rsid w:val="00273EF1"/>
    <w:rsid w:val="00274AD5"/>
    <w:rsid w:val="00276D92"/>
    <w:rsid w:val="0027748F"/>
    <w:rsid w:val="00281F6C"/>
    <w:rsid w:val="00292AF0"/>
    <w:rsid w:val="00292D9C"/>
    <w:rsid w:val="00292E14"/>
    <w:rsid w:val="00294B9B"/>
    <w:rsid w:val="002A322F"/>
    <w:rsid w:val="002A3328"/>
    <w:rsid w:val="002A3CA4"/>
    <w:rsid w:val="002A46CF"/>
    <w:rsid w:val="002A634E"/>
    <w:rsid w:val="002A63D2"/>
    <w:rsid w:val="002B0A38"/>
    <w:rsid w:val="002B268E"/>
    <w:rsid w:val="002B4084"/>
    <w:rsid w:val="002C101E"/>
    <w:rsid w:val="002C167B"/>
    <w:rsid w:val="002C2834"/>
    <w:rsid w:val="002C2DC2"/>
    <w:rsid w:val="002C5FAC"/>
    <w:rsid w:val="002D3EC9"/>
    <w:rsid w:val="002D7C73"/>
    <w:rsid w:val="002E337C"/>
    <w:rsid w:val="002E34FF"/>
    <w:rsid w:val="002E3C88"/>
    <w:rsid w:val="002E5E89"/>
    <w:rsid w:val="002E71C2"/>
    <w:rsid w:val="002E7D66"/>
    <w:rsid w:val="002F0C21"/>
    <w:rsid w:val="002F3091"/>
    <w:rsid w:val="002F4402"/>
    <w:rsid w:val="002F6B57"/>
    <w:rsid w:val="00301407"/>
    <w:rsid w:val="00304D6E"/>
    <w:rsid w:val="0031071E"/>
    <w:rsid w:val="00310F26"/>
    <w:rsid w:val="003144DD"/>
    <w:rsid w:val="00314C8B"/>
    <w:rsid w:val="003166BC"/>
    <w:rsid w:val="00317596"/>
    <w:rsid w:val="003228D3"/>
    <w:rsid w:val="003233B1"/>
    <w:rsid w:val="00323815"/>
    <w:rsid w:val="003261EE"/>
    <w:rsid w:val="00326A93"/>
    <w:rsid w:val="00326EA9"/>
    <w:rsid w:val="00330C78"/>
    <w:rsid w:val="00332645"/>
    <w:rsid w:val="00336B9E"/>
    <w:rsid w:val="00337BE0"/>
    <w:rsid w:val="003411EA"/>
    <w:rsid w:val="0034135F"/>
    <w:rsid w:val="0034170D"/>
    <w:rsid w:val="00343C28"/>
    <w:rsid w:val="00347D77"/>
    <w:rsid w:val="00350E0D"/>
    <w:rsid w:val="00352A1E"/>
    <w:rsid w:val="00352DAA"/>
    <w:rsid w:val="00353AD0"/>
    <w:rsid w:val="00354C96"/>
    <w:rsid w:val="003556EB"/>
    <w:rsid w:val="00360110"/>
    <w:rsid w:val="00361D63"/>
    <w:rsid w:val="00365809"/>
    <w:rsid w:val="00366961"/>
    <w:rsid w:val="00367053"/>
    <w:rsid w:val="00367239"/>
    <w:rsid w:val="00367599"/>
    <w:rsid w:val="003702C4"/>
    <w:rsid w:val="00373142"/>
    <w:rsid w:val="003750B6"/>
    <w:rsid w:val="003754F3"/>
    <w:rsid w:val="00377440"/>
    <w:rsid w:val="0038119F"/>
    <w:rsid w:val="00381240"/>
    <w:rsid w:val="00382502"/>
    <w:rsid w:val="00383BAC"/>
    <w:rsid w:val="00385E03"/>
    <w:rsid w:val="00385F69"/>
    <w:rsid w:val="00390CFD"/>
    <w:rsid w:val="003948B3"/>
    <w:rsid w:val="00394A95"/>
    <w:rsid w:val="00394D84"/>
    <w:rsid w:val="003952D7"/>
    <w:rsid w:val="0039742F"/>
    <w:rsid w:val="00397BA3"/>
    <w:rsid w:val="003A1222"/>
    <w:rsid w:val="003A6EBA"/>
    <w:rsid w:val="003B2136"/>
    <w:rsid w:val="003B2B32"/>
    <w:rsid w:val="003B2CFF"/>
    <w:rsid w:val="003B5E8C"/>
    <w:rsid w:val="003B63F5"/>
    <w:rsid w:val="003B75F0"/>
    <w:rsid w:val="003B7952"/>
    <w:rsid w:val="003C03CD"/>
    <w:rsid w:val="003C27DA"/>
    <w:rsid w:val="003C7F82"/>
    <w:rsid w:val="003D41A5"/>
    <w:rsid w:val="003E1B3F"/>
    <w:rsid w:val="003E5A71"/>
    <w:rsid w:val="003E749D"/>
    <w:rsid w:val="003F028B"/>
    <w:rsid w:val="003F4023"/>
    <w:rsid w:val="003F6F10"/>
    <w:rsid w:val="00401AE1"/>
    <w:rsid w:val="00401C1D"/>
    <w:rsid w:val="00401CC8"/>
    <w:rsid w:val="00401F6A"/>
    <w:rsid w:val="00402633"/>
    <w:rsid w:val="004032E3"/>
    <w:rsid w:val="00403835"/>
    <w:rsid w:val="00404264"/>
    <w:rsid w:val="004069F1"/>
    <w:rsid w:val="00407002"/>
    <w:rsid w:val="004110E2"/>
    <w:rsid w:val="00415641"/>
    <w:rsid w:val="00416B48"/>
    <w:rsid w:val="00416F1A"/>
    <w:rsid w:val="0042233B"/>
    <w:rsid w:val="0043066E"/>
    <w:rsid w:val="0043099C"/>
    <w:rsid w:val="0043164A"/>
    <w:rsid w:val="00432229"/>
    <w:rsid w:val="00432974"/>
    <w:rsid w:val="004337C8"/>
    <w:rsid w:val="00434880"/>
    <w:rsid w:val="00436D1E"/>
    <w:rsid w:val="00440575"/>
    <w:rsid w:val="004411EA"/>
    <w:rsid w:val="00451C8C"/>
    <w:rsid w:val="00457643"/>
    <w:rsid w:val="00457CAE"/>
    <w:rsid w:val="00464BA2"/>
    <w:rsid w:val="004657DD"/>
    <w:rsid w:val="0046677B"/>
    <w:rsid w:val="00467E82"/>
    <w:rsid w:val="00470E75"/>
    <w:rsid w:val="00473323"/>
    <w:rsid w:val="00473686"/>
    <w:rsid w:val="00474400"/>
    <w:rsid w:val="00476700"/>
    <w:rsid w:val="004801A4"/>
    <w:rsid w:val="00480883"/>
    <w:rsid w:val="004857D5"/>
    <w:rsid w:val="004873C5"/>
    <w:rsid w:val="00490C20"/>
    <w:rsid w:val="00493D28"/>
    <w:rsid w:val="00494714"/>
    <w:rsid w:val="004A2834"/>
    <w:rsid w:val="004A2C42"/>
    <w:rsid w:val="004A4C46"/>
    <w:rsid w:val="004A5B07"/>
    <w:rsid w:val="004A7BFF"/>
    <w:rsid w:val="004B145B"/>
    <w:rsid w:val="004B449F"/>
    <w:rsid w:val="004C0997"/>
    <w:rsid w:val="004C107D"/>
    <w:rsid w:val="004C1D94"/>
    <w:rsid w:val="004C57CF"/>
    <w:rsid w:val="004C5D8C"/>
    <w:rsid w:val="004C7595"/>
    <w:rsid w:val="004D00CD"/>
    <w:rsid w:val="004D02B8"/>
    <w:rsid w:val="004D2E5B"/>
    <w:rsid w:val="004D3429"/>
    <w:rsid w:val="004D3A21"/>
    <w:rsid w:val="004E02D3"/>
    <w:rsid w:val="004E2FE7"/>
    <w:rsid w:val="004F35A1"/>
    <w:rsid w:val="004F3E17"/>
    <w:rsid w:val="004F49FB"/>
    <w:rsid w:val="004F7DB1"/>
    <w:rsid w:val="004F7DDC"/>
    <w:rsid w:val="00500A6D"/>
    <w:rsid w:val="00501F69"/>
    <w:rsid w:val="0050573E"/>
    <w:rsid w:val="00513731"/>
    <w:rsid w:val="00514C7E"/>
    <w:rsid w:val="00515845"/>
    <w:rsid w:val="005224FA"/>
    <w:rsid w:val="0052288F"/>
    <w:rsid w:val="00537A18"/>
    <w:rsid w:val="0054005C"/>
    <w:rsid w:val="00542341"/>
    <w:rsid w:val="00542FB4"/>
    <w:rsid w:val="0054379C"/>
    <w:rsid w:val="00545E40"/>
    <w:rsid w:val="00552A9B"/>
    <w:rsid w:val="005530C2"/>
    <w:rsid w:val="005600F6"/>
    <w:rsid w:val="0056201E"/>
    <w:rsid w:val="005622FD"/>
    <w:rsid w:val="00562C92"/>
    <w:rsid w:val="0056419E"/>
    <w:rsid w:val="00567C3E"/>
    <w:rsid w:val="00571826"/>
    <w:rsid w:val="00572E55"/>
    <w:rsid w:val="005770A5"/>
    <w:rsid w:val="00580C26"/>
    <w:rsid w:val="00581757"/>
    <w:rsid w:val="00583E6E"/>
    <w:rsid w:val="00585A3D"/>
    <w:rsid w:val="0059070C"/>
    <w:rsid w:val="00592C7C"/>
    <w:rsid w:val="00592CE7"/>
    <w:rsid w:val="005938BB"/>
    <w:rsid w:val="0059618B"/>
    <w:rsid w:val="00597F48"/>
    <w:rsid w:val="005A4992"/>
    <w:rsid w:val="005A5601"/>
    <w:rsid w:val="005A7A3E"/>
    <w:rsid w:val="005B5283"/>
    <w:rsid w:val="005B781D"/>
    <w:rsid w:val="005C3180"/>
    <w:rsid w:val="005C5E67"/>
    <w:rsid w:val="005D451E"/>
    <w:rsid w:val="005D7228"/>
    <w:rsid w:val="005E3841"/>
    <w:rsid w:val="005E4948"/>
    <w:rsid w:val="005F56ED"/>
    <w:rsid w:val="005F7340"/>
    <w:rsid w:val="0060114F"/>
    <w:rsid w:val="0060274E"/>
    <w:rsid w:val="006048FD"/>
    <w:rsid w:val="00612BDB"/>
    <w:rsid w:val="00613E70"/>
    <w:rsid w:val="00617226"/>
    <w:rsid w:val="00620C2B"/>
    <w:rsid w:val="00620D34"/>
    <w:rsid w:val="00623878"/>
    <w:rsid w:val="0062397C"/>
    <w:rsid w:val="00626AF6"/>
    <w:rsid w:val="00632EAA"/>
    <w:rsid w:val="0063445B"/>
    <w:rsid w:val="00634521"/>
    <w:rsid w:val="006374F9"/>
    <w:rsid w:val="006420ED"/>
    <w:rsid w:val="00643293"/>
    <w:rsid w:val="006453BD"/>
    <w:rsid w:val="00645868"/>
    <w:rsid w:val="00650C73"/>
    <w:rsid w:val="00654221"/>
    <w:rsid w:val="0066004C"/>
    <w:rsid w:val="006641B7"/>
    <w:rsid w:val="00670CF7"/>
    <w:rsid w:val="00674A32"/>
    <w:rsid w:val="00675360"/>
    <w:rsid w:val="00676870"/>
    <w:rsid w:val="00682009"/>
    <w:rsid w:val="006832C0"/>
    <w:rsid w:val="00684087"/>
    <w:rsid w:val="0068581A"/>
    <w:rsid w:val="006871A5"/>
    <w:rsid w:val="00690736"/>
    <w:rsid w:val="0069101B"/>
    <w:rsid w:val="00691E63"/>
    <w:rsid w:val="006940AC"/>
    <w:rsid w:val="00694328"/>
    <w:rsid w:val="00695C02"/>
    <w:rsid w:val="00696B7C"/>
    <w:rsid w:val="006A0DD9"/>
    <w:rsid w:val="006A1753"/>
    <w:rsid w:val="006A43AF"/>
    <w:rsid w:val="006A74DA"/>
    <w:rsid w:val="006B0A0C"/>
    <w:rsid w:val="006B32AC"/>
    <w:rsid w:val="006B35CA"/>
    <w:rsid w:val="006B4A73"/>
    <w:rsid w:val="006B5DB2"/>
    <w:rsid w:val="006C0FF6"/>
    <w:rsid w:val="006C10F5"/>
    <w:rsid w:val="006C59E0"/>
    <w:rsid w:val="006C634F"/>
    <w:rsid w:val="006D6C35"/>
    <w:rsid w:val="006D7DCD"/>
    <w:rsid w:val="006E0AD0"/>
    <w:rsid w:val="006E1A3A"/>
    <w:rsid w:val="006E383F"/>
    <w:rsid w:val="006E58A4"/>
    <w:rsid w:val="006E6472"/>
    <w:rsid w:val="006E6B6F"/>
    <w:rsid w:val="006F4736"/>
    <w:rsid w:val="006F48CB"/>
    <w:rsid w:val="006F5BF6"/>
    <w:rsid w:val="006F6A52"/>
    <w:rsid w:val="006F7044"/>
    <w:rsid w:val="00702A9F"/>
    <w:rsid w:val="00703DD8"/>
    <w:rsid w:val="007046BB"/>
    <w:rsid w:val="00704A64"/>
    <w:rsid w:val="0071546A"/>
    <w:rsid w:val="00720A70"/>
    <w:rsid w:val="007236FA"/>
    <w:rsid w:val="00725CFC"/>
    <w:rsid w:val="00726C5B"/>
    <w:rsid w:val="00726F34"/>
    <w:rsid w:val="00727A2F"/>
    <w:rsid w:val="00732E1A"/>
    <w:rsid w:val="007357F8"/>
    <w:rsid w:val="0073620D"/>
    <w:rsid w:val="00736D43"/>
    <w:rsid w:val="007400C0"/>
    <w:rsid w:val="007447D8"/>
    <w:rsid w:val="00746A4F"/>
    <w:rsid w:val="007514B1"/>
    <w:rsid w:val="00751BD5"/>
    <w:rsid w:val="00754F13"/>
    <w:rsid w:val="0076073C"/>
    <w:rsid w:val="00762F69"/>
    <w:rsid w:val="00763578"/>
    <w:rsid w:val="00764E65"/>
    <w:rsid w:val="007658F2"/>
    <w:rsid w:val="00770199"/>
    <w:rsid w:val="0077185D"/>
    <w:rsid w:val="00775E44"/>
    <w:rsid w:val="00776C3E"/>
    <w:rsid w:val="007774E7"/>
    <w:rsid w:val="007801B9"/>
    <w:rsid w:val="007810C3"/>
    <w:rsid w:val="00781543"/>
    <w:rsid w:val="00782DF8"/>
    <w:rsid w:val="00783A9E"/>
    <w:rsid w:val="00797D73"/>
    <w:rsid w:val="007A504D"/>
    <w:rsid w:val="007A54EF"/>
    <w:rsid w:val="007A5656"/>
    <w:rsid w:val="007A6DB7"/>
    <w:rsid w:val="007B31F5"/>
    <w:rsid w:val="007B5FAA"/>
    <w:rsid w:val="007B6865"/>
    <w:rsid w:val="007C14A5"/>
    <w:rsid w:val="007C3604"/>
    <w:rsid w:val="007C5980"/>
    <w:rsid w:val="007D3A98"/>
    <w:rsid w:val="007D4DA3"/>
    <w:rsid w:val="007D538A"/>
    <w:rsid w:val="007D741F"/>
    <w:rsid w:val="007E0829"/>
    <w:rsid w:val="007E3F85"/>
    <w:rsid w:val="007E4A2B"/>
    <w:rsid w:val="007F11FB"/>
    <w:rsid w:val="007F215B"/>
    <w:rsid w:val="007F5372"/>
    <w:rsid w:val="00804BD3"/>
    <w:rsid w:val="00805F6D"/>
    <w:rsid w:val="00810D8C"/>
    <w:rsid w:val="00811CF5"/>
    <w:rsid w:val="0081223A"/>
    <w:rsid w:val="00814FAE"/>
    <w:rsid w:val="0081521A"/>
    <w:rsid w:val="00817780"/>
    <w:rsid w:val="0082122C"/>
    <w:rsid w:val="008213B0"/>
    <w:rsid w:val="00821443"/>
    <w:rsid w:val="008251B9"/>
    <w:rsid w:val="008269BA"/>
    <w:rsid w:val="00830431"/>
    <w:rsid w:val="00831471"/>
    <w:rsid w:val="00835055"/>
    <w:rsid w:val="00840B16"/>
    <w:rsid w:val="00841983"/>
    <w:rsid w:val="00841EF7"/>
    <w:rsid w:val="008431B4"/>
    <w:rsid w:val="00843536"/>
    <w:rsid w:val="00843BA0"/>
    <w:rsid w:val="008451F2"/>
    <w:rsid w:val="008520DB"/>
    <w:rsid w:val="00852F7E"/>
    <w:rsid w:val="0085485A"/>
    <w:rsid w:val="00854929"/>
    <w:rsid w:val="00855054"/>
    <w:rsid w:val="00860835"/>
    <w:rsid w:val="008612D0"/>
    <w:rsid w:val="00862246"/>
    <w:rsid w:val="008631EB"/>
    <w:rsid w:val="008668F5"/>
    <w:rsid w:val="00871790"/>
    <w:rsid w:val="00873472"/>
    <w:rsid w:val="00875D08"/>
    <w:rsid w:val="008761B9"/>
    <w:rsid w:val="008769DF"/>
    <w:rsid w:val="00883554"/>
    <w:rsid w:val="00883760"/>
    <w:rsid w:val="00884ED0"/>
    <w:rsid w:val="0089181B"/>
    <w:rsid w:val="00892275"/>
    <w:rsid w:val="00893DED"/>
    <w:rsid w:val="00894BE9"/>
    <w:rsid w:val="00894DA5"/>
    <w:rsid w:val="00897DD4"/>
    <w:rsid w:val="008A14C3"/>
    <w:rsid w:val="008A2B2F"/>
    <w:rsid w:val="008A3DE3"/>
    <w:rsid w:val="008A4E31"/>
    <w:rsid w:val="008A59F5"/>
    <w:rsid w:val="008A7F8B"/>
    <w:rsid w:val="008B7591"/>
    <w:rsid w:val="008C46FE"/>
    <w:rsid w:val="008C6E2B"/>
    <w:rsid w:val="008D0E1C"/>
    <w:rsid w:val="008D490D"/>
    <w:rsid w:val="008E220D"/>
    <w:rsid w:val="008F1539"/>
    <w:rsid w:val="008F40E5"/>
    <w:rsid w:val="00900B05"/>
    <w:rsid w:val="00901F19"/>
    <w:rsid w:val="009029F1"/>
    <w:rsid w:val="009049D6"/>
    <w:rsid w:val="009079FA"/>
    <w:rsid w:val="00911680"/>
    <w:rsid w:val="00912E53"/>
    <w:rsid w:val="009141EC"/>
    <w:rsid w:val="00917964"/>
    <w:rsid w:val="0092725C"/>
    <w:rsid w:val="00930CE7"/>
    <w:rsid w:val="00932B93"/>
    <w:rsid w:val="009341A8"/>
    <w:rsid w:val="00934473"/>
    <w:rsid w:val="00935C01"/>
    <w:rsid w:val="009372C2"/>
    <w:rsid w:val="0093766C"/>
    <w:rsid w:val="00942E0E"/>
    <w:rsid w:val="009435E0"/>
    <w:rsid w:val="00947D3C"/>
    <w:rsid w:val="00947D9D"/>
    <w:rsid w:val="00951739"/>
    <w:rsid w:val="0095687C"/>
    <w:rsid w:val="00957245"/>
    <w:rsid w:val="0096003D"/>
    <w:rsid w:val="009601F4"/>
    <w:rsid w:val="00964F7F"/>
    <w:rsid w:val="0097003B"/>
    <w:rsid w:val="00970A24"/>
    <w:rsid w:val="00972EC7"/>
    <w:rsid w:val="0097505A"/>
    <w:rsid w:val="009751B4"/>
    <w:rsid w:val="009779FA"/>
    <w:rsid w:val="009856D8"/>
    <w:rsid w:val="009925DF"/>
    <w:rsid w:val="00992B49"/>
    <w:rsid w:val="00996367"/>
    <w:rsid w:val="009B0E08"/>
    <w:rsid w:val="009B17F3"/>
    <w:rsid w:val="009B2E21"/>
    <w:rsid w:val="009B4D2D"/>
    <w:rsid w:val="009B7574"/>
    <w:rsid w:val="009B7D86"/>
    <w:rsid w:val="009C2A7C"/>
    <w:rsid w:val="009C45D1"/>
    <w:rsid w:val="009C73A1"/>
    <w:rsid w:val="009D01D8"/>
    <w:rsid w:val="009D0B41"/>
    <w:rsid w:val="009D123B"/>
    <w:rsid w:val="009D3E01"/>
    <w:rsid w:val="009D6F55"/>
    <w:rsid w:val="009E22DE"/>
    <w:rsid w:val="009F0C8E"/>
    <w:rsid w:val="009F1AF9"/>
    <w:rsid w:val="009F220A"/>
    <w:rsid w:val="009F2B86"/>
    <w:rsid w:val="009F62C1"/>
    <w:rsid w:val="009F7FD0"/>
    <w:rsid w:val="00A00B42"/>
    <w:rsid w:val="00A027F6"/>
    <w:rsid w:val="00A04119"/>
    <w:rsid w:val="00A04A6C"/>
    <w:rsid w:val="00A0762B"/>
    <w:rsid w:val="00A15D2E"/>
    <w:rsid w:val="00A215DB"/>
    <w:rsid w:val="00A22906"/>
    <w:rsid w:val="00A2391D"/>
    <w:rsid w:val="00A25FDD"/>
    <w:rsid w:val="00A2655E"/>
    <w:rsid w:val="00A267FD"/>
    <w:rsid w:val="00A27403"/>
    <w:rsid w:val="00A27D70"/>
    <w:rsid w:val="00A308B4"/>
    <w:rsid w:val="00A30EF5"/>
    <w:rsid w:val="00A31477"/>
    <w:rsid w:val="00A3197D"/>
    <w:rsid w:val="00A34C8C"/>
    <w:rsid w:val="00A35622"/>
    <w:rsid w:val="00A36E33"/>
    <w:rsid w:val="00A3772E"/>
    <w:rsid w:val="00A40891"/>
    <w:rsid w:val="00A409F1"/>
    <w:rsid w:val="00A44ABB"/>
    <w:rsid w:val="00A472AD"/>
    <w:rsid w:val="00A53FF3"/>
    <w:rsid w:val="00A5613B"/>
    <w:rsid w:val="00A6071B"/>
    <w:rsid w:val="00A636A6"/>
    <w:rsid w:val="00A64B0D"/>
    <w:rsid w:val="00A665E7"/>
    <w:rsid w:val="00A72D9E"/>
    <w:rsid w:val="00A73D56"/>
    <w:rsid w:val="00A741BF"/>
    <w:rsid w:val="00A7601B"/>
    <w:rsid w:val="00A77E98"/>
    <w:rsid w:val="00A800B4"/>
    <w:rsid w:val="00A801C3"/>
    <w:rsid w:val="00A82504"/>
    <w:rsid w:val="00A840B2"/>
    <w:rsid w:val="00A84247"/>
    <w:rsid w:val="00A87371"/>
    <w:rsid w:val="00A87A14"/>
    <w:rsid w:val="00A901AB"/>
    <w:rsid w:val="00A902E0"/>
    <w:rsid w:val="00A9308D"/>
    <w:rsid w:val="00AA00F5"/>
    <w:rsid w:val="00AA28DD"/>
    <w:rsid w:val="00AA580A"/>
    <w:rsid w:val="00AA5C6E"/>
    <w:rsid w:val="00AA7942"/>
    <w:rsid w:val="00AB09C6"/>
    <w:rsid w:val="00AB20FB"/>
    <w:rsid w:val="00AB7793"/>
    <w:rsid w:val="00AB7D94"/>
    <w:rsid w:val="00AC18B9"/>
    <w:rsid w:val="00AC2628"/>
    <w:rsid w:val="00AC4466"/>
    <w:rsid w:val="00AC4E3C"/>
    <w:rsid w:val="00AC5952"/>
    <w:rsid w:val="00AC5E45"/>
    <w:rsid w:val="00AC7C55"/>
    <w:rsid w:val="00AD2B82"/>
    <w:rsid w:val="00AD3B41"/>
    <w:rsid w:val="00AD3EC0"/>
    <w:rsid w:val="00AD7F6F"/>
    <w:rsid w:val="00AE3237"/>
    <w:rsid w:val="00AE3A93"/>
    <w:rsid w:val="00AE44FC"/>
    <w:rsid w:val="00AF02FB"/>
    <w:rsid w:val="00AF41BB"/>
    <w:rsid w:val="00AF42D3"/>
    <w:rsid w:val="00AF4A78"/>
    <w:rsid w:val="00AF6373"/>
    <w:rsid w:val="00AF7935"/>
    <w:rsid w:val="00AF7F1E"/>
    <w:rsid w:val="00B0012C"/>
    <w:rsid w:val="00B018B5"/>
    <w:rsid w:val="00B03AED"/>
    <w:rsid w:val="00B03EED"/>
    <w:rsid w:val="00B06C8C"/>
    <w:rsid w:val="00B10C67"/>
    <w:rsid w:val="00B215B0"/>
    <w:rsid w:val="00B22088"/>
    <w:rsid w:val="00B23041"/>
    <w:rsid w:val="00B23A4D"/>
    <w:rsid w:val="00B23C18"/>
    <w:rsid w:val="00B30D14"/>
    <w:rsid w:val="00B35114"/>
    <w:rsid w:val="00B35DBD"/>
    <w:rsid w:val="00B4102E"/>
    <w:rsid w:val="00B41142"/>
    <w:rsid w:val="00B422AB"/>
    <w:rsid w:val="00B4277F"/>
    <w:rsid w:val="00B45EC1"/>
    <w:rsid w:val="00B47FED"/>
    <w:rsid w:val="00B5084B"/>
    <w:rsid w:val="00B52897"/>
    <w:rsid w:val="00B5410C"/>
    <w:rsid w:val="00B54482"/>
    <w:rsid w:val="00B5482E"/>
    <w:rsid w:val="00B5721D"/>
    <w:rsid w:val="00B6489E"/>
    <w:rsid w:val="00B65AF1"/>
    <w:rsid w:val="00B65EBF"/>
    <w:rsid w:val="00B67C22"/>
    <w:rsid w:val="00B7197D"/>
    <w:rsid w:val="00B71F16"/>
    <w:rsid w:val="00B731A7"/>
    <w:rsid w:val="00B74B95"/>
    <w:rsid w:val="00B81C31"/>
    <w:rsid w:val="00B82610"/>
    <w:rsid w:val="00B83D1C"/>
    <w:rsid w:val="00B83DFB"/>
    <w:rsid w:val="00B87258"/>
    <w:rsid w:val="00B9107B"/>
    <w:rsid w:val="00BA1E3D"/>
    <w:rsid w:val="00BA1F23"/>
    <w:rsid w:val="00BA2BD4"/>
    <w:rsid w:val="00BA40A9"/>
    <w:rsid w:val="00BA5214"/>
    <w:rsid w:val="00BA61B1"/>
    <w:rsid w:val="00BA7B81"/>
    <w:rsid w:val="00BB3A2F"/>
    <w:rsid w:val="00BB42CC"/>
    <w:rsid w:val="00BB4D8C"/>
    <w:rsid w:val="00BB553F"/>
    <w:rsid w:val="00BC6555"/>
    <w:rsid w:val="00BC73E5"/>
    <w:rsid w:val="00BD2F6E"/>
    <w:rsid w:val="00BD3A17"/>
    <w:rsid w:val="00BD4D95"/>
    <w:rsid w:val="00BD512A"/>
    <w:rsid w:val="00BD620D"/>
    <w:rsid w:val="00BD7450"/>
    <w:rsid w:val="00BE1712"/>
    <w:rsid w:val="00BE257A"/>
    <w:rsid w:val="00BE3DB5"/>
    <w:rsid w:val="00BE4EA7"/>
    <w:rsid w:val="00BE6BD9"/>
    <w:rsid w:val="00BE7C61"/>
    <w:rsid w:val="00BF28CE"/>
    <w:rsid w:val="00BF5C20"/>
    <w:rsid w:val="00C014A3"/>
    <w:rsid w:val="00C0184E"/>
    <w:rsid w:val="00C1185F"/>
    <w:rsid w:val="00C12A71"/>
    <w:rsid w:val="00C17FD4"/>
    <w:rsid w:val="00C2005B"/>
    <w:rsid w:val="00C21C25"/>
    <w:rsid w:val="00C23D35"/>
    <w:rsid w:val="00C240BD"/>
    <w:rsid w:val="00C26531"/>
    <w:rsid w:val="00C327E6"/>
    <w:rsid w:val="00C35146"/>
    <w:rsid w:val="00C40FE4"/>
    <w:rsid w:val="00C43239"/>
    <w:rsid w:val="00C53106"/>
    <w:rsid w:val="00C5322A"/>
    <w:rsid w:val="00C5412E"/>
    <w:rsid w:val="00C5448E"/>
    <w:rsid w:val="00C54F8B"/>
    <w:rsid w:val="00C606D4"/>
    <w:rsid w:val="00C620BE"/>
    <w:rsid w:val="00C624EF"/>
    <w:rsid w:val="00C65DC9"/>
    <w:rsid w:val="00C70863"/>
    <w:rsid w:val="00C7405E"/>
    <w:rsid w:val="00C76EFA"/>
    <w:rsid w:val="00C80D99"/>
    <w:rsid w:val="00C8169C"/>
    <w:rsid w:val="00C8255E"/>
    <w:rsid w:val="00C82F97"/>
    <w:rsid w:val="00C85349"/>
    <w:rsid w:val="00C856C1"/>
    <w:rsid w:val="00C86F3C"/>
    <w:rsid w:val="00C87891"/>
    <w:rsid w:val="00C91DC4"/>
    <w:rsid w:val="00C92A3F"/>
    <w:rsid w:val="00C955D5"/>
    <w:rsid w:val="00C97673"/>
    <w:rsid w:val="00C97875"/>
    <w:rsid w:val="00C97E40"/>
    <w:rsid w:val="00CA3A8D"/>
    <w:rsid w:val="00CA59B8"/>
    <w:rsid w:val="00CB45A3"/>
    <w:rsid w:val="00CB4854"/>
    <w:rsid w:val="00CB5FE1"/>
    <w:rsid w:val="00CB6C73"/>
    <w:rsid w:val="00CB7366"/>
    <w:rsid w:val="00CC3773"/>
    <w:rsid w:val="00CC585B"/>
    <w:rsid w:val="00CD06AD"/>
    <w:rsid w:val="00CD2141"/>
    <w:rsid w:val="00CD3972"/>
    <w:rsid w:val="00CD4D97"/>
    <w:rsid w:val="00CD6EBA"/>
    <w:rsid w:val="00CE068E"/>
    <w:rsid w:val="00CE3381"/>
    <w:rsid w:val="00CE778C"/>
    <w:rsid w:val="00CF3144"/>
    <w:rsid w:val="00CF4284"/>
    <w:rsid w:val="00CF5C74"/>
    <w:rsid w:val="00CF61F0"/>
    <w:rsid w:val="00CF7FF8"/>
    <w:rsid w:val="00D06ADB"/>
    <w:rsid w:val="00D07DCB"/>
    <w:rsid w:val="00D13526"/>
    <w:rsid w:val="00D15073"/>
    <w:rsid w:val="00D15C83"/>
    <w:rsid w:val="00D17E01"/>
    <w:rsid w:val="00D215B8"/>
    <w:rsid w:val="00D24188"/>
    <w:rsid w:val="00D2583B"/>
    <w:rsid w:val="00D25AB7"/>
    <w:rsid w:val="00D2679F"/>
    <w:rsid w:val="00D27672"/>
    <w:rsid w:val="00D30F7E"/>
    <w:rsid w:val="00D3102B"/>
    <w:rsid w:val="00D31DF7"/>
    <w:rsid w:val="00D32D69"/>
    <w:rsid w:val="00D37A42"/>
    <w:rsid w:val="00D40055"/>
    <w:rsid w:val="00D43DAB"/>
    <w:rsid w:val="00D43EB4"/>
    <w:rsid w:val="00D4418E"/>
    <w:rsid w:val="00D452F3"/>
    <w:rsid w:val="00D458DE"/>
    <w:rsid w:val="00D52828"/>
    <w:rsid w:val="00D53491"/>
    <w:rsid w:val="00D53649"/>
    <w:rsid w:val="00D5530C"/>
    <w:rsid w:val="00D5598E"/>
    <w:rsid w:val="00D5702B"/>
    <w:rsid w:val="00D608AD"/>
    <w:rsid w:val="00D67E50"/>
    <w:rsid w:val="00D709E7"/>
    <w:rsid w:val="00D724BF"/>
    <w:rsid w:val="00D756C6"/>
    <w:rsid w:val="00D76535"/>
    <w:rsid w:val="00D76CEB"/>
    <w:rsid w:val="00D77DF4"/>
    <w:rsid w:val="00D8157E"/>
    <w:rsid w:val="00D82307"/>
    <w:rsid w:val="00D84373"/>
    <w:rsid w:val="00D86FC3"/>
    <w:rsid w:val="00D90986"/>
    <w:rsid w:val="00D91B67"/>
    <w:rsid w:val="00D94E4A"/>
    <w:rsid w:val="00D9653B"/>
    <w:rsid w:val="00D97169"/>
    <w:rsid w:val="00DA05A1"/>
    <w:rsid w:val="00DA07F1"/>
    <w:rsid w:val="00DA29A7"/>
    <w:rsid w:val="00DA403B"/>
    <w:rsid w:val="00DA4CE6"/>
    <w:rsid w:val="00DA61C8"/>
    <w:rsid w:val="00DA6C8B"/>
    <w:rsid w:val="00DB12A7"/>
    <w:rsid w:val="00DB1FD1"/>
    <w:rsid w:val="00DB248E"/>
    <w:rsid w:val="00DB438C"/>
    <w:rsid w:val="00DC295E"/>
    <w:rsid w:val="00DC3AA6"/>
    <w:rsid w:val="00DC3BB3"/>
    <w:rsid w:val="00DC46D8"/>
    <w:rsid w:val="00DC68EA"/>
    <w:rsid w:val="00DC6E5A"/>
    <w:rsid w:val="00DD26C3"/>
    <w:rsid w:val="00DD404E"/>
    <w:rsid w:val="00DD5A19"/>
    <w:rsid w:val="00DD6CE7"/>
    <w:rsid w:val="00DE63AD"/>
    <w:rsid w:val="00DE7494"/>
    <w:rsid w:val="00DF4937"/>
    <w:rsid w:val="00DF6E6D"/>
    <w:rsid w:val="00E01395"/>
    <w:rsid w:val="00E0208C"/>
    <w:rsid w:val="00E044F2"/>
    <w:rsid w:val="00E04DB6"/>
    <w:rsid w:val="00E07347"/>
    <w:rsid w:val="00E10D94"/>
    <w:rsid w:val="00E11B6D"/>
    <w:rsid w:val="00E16C54"/>
    <w:rsid w:val="00E21F7E"/>
    <w:rsid w:val="00E2226C"/>
    <w:rsid w:val="00E22DFF"/>
    <w:rsid w:val="00E249A2"/>
    <w:rsid w:val="00E31EBD"/>
    <w:rsid w:val="00E34CDA"/>
    <w:rsid w:val="00E357EC"/>
    <w:rsid w:val="00E376A8"/>
    <w:rsid w:val="00E37CD3"/>
    <w:rsid w:val="00E43B0C"/>
    <w:rsid w:val="00E44FD6"/>
    <w:rsid w:val="00E46324"/>
    <w:rsid w:val="00E47D77"/>
    <w:rsid w:val="00E5023D"/>
    <w:rsid w:val="00E5074A"/>
    <w:rsid w:val="00E51CC2"/>
    <w:rsid w:val="00E52F35"/>
    <w:rsid w:val="00E53824"/>
    <w:rsid w:val="00E60B59"/>
    <w:rsid w:val="00E6336C"/>
    <w:rsid w:val="00E658F0"/>
    <w:rsid w:val="00E65B93"/>
    <w:rsid w:val="00E72B0E"/>
    <w:rsid w:val="00E73BC8"/>
    <w:rsid w:val="00E743CB"/>
    <w:rsid w:val="00E74773"/>
    <w:rsid w:val="00E74A10"/>
    <w:rsid w:val="00E75757"/>
    <w:rsid w:val="00E803BA"/>
    <w:rsid w:val="00E810A2"/>
    <w:rsid w:val="00E84B13"/>
    <w:rsid w:val="00E866B7"/>
    <w:rsid w:val="00E972B0"/>
    <w:rsid w:val="00EA5558"/>
    <w:rsid w:val="00EB0F5A"/>
    <w:rsid w:val="00EB29D8"/>
    <w:rsid w:val="00EB3109"/>
    <w:rsid w:val="00EB61B6"/>
    <w:rsid w:val="00EC0AF5"/>
    <w:rsid w:val="00EC49FD"/>
    <w:rsid w:val="00EC4EBF"/>
    <w:rsid w:val="00EC6109"/>
    <w:rsid w:val="00ED0482"/>
    <w:rsid w:val="00ED185D"/>
    <w:rsid w:val="00EE13D1"/>
    <w:rsid w:val="00EE3F61"/>
    <w:rsid w:val="00EE71A6"/>
    <w:rsid w:val="00EE7FC9"/>
    <w:rsid w:val="00EF0FC9"/>
    <w:rsid w:val="00EF2BB2"/>
    <w:rsid w:val="00EF591C"/>
    <w:rsid w:val="00F05CD8"/>
    <w:rsid w:val="00F06B57"/>
    <w:rsid w:val="00F136E1"/>
    <w:rsid w:val="00F139AF"/>
    <w:rsid w:val="00F16B6C"/>
    <w:rsid w:val="00F20AEE"/>
    <w:rsid w:val="00F20FBF"/>
    <w:rsid w:val="00F21A60"/>
    <w:rsid w:val="00F26242"/>
    <w:rsid w:val="00F26BC3"/>
    <w:rsid w:val="00F27321"/>
    <w:rsid w:val="00F400DC"/>
    <w:rsid w:val="00F40918"/>
    <w:rsid w:val="00F40F4B"/>
    <w:rsid w:val="00F43236"/>
    <w:rsid w:val="00F4699E"/>
    <w:rsid w:val="00F52598"/>
    <w:rsid w:val="00F533C7"/>
    <w:rsid w:val="00F5391F"/>
    <w:rsid w:val="00F5748E"/>
    <w:rsid w:val="00F61A1D"/>
    <w:rsid w:val="00F62AA8"/>
    <w:rsid w:val="00F63322"/>
    <w:rsid w:val="00F72829"/>
    <w:rsid w:val="00F74739"/>
    <w:rsid w:val="00F7511F"/>
    <w:rsid w:val="00F7571C"/>
    <w:rsid w:val="00F758DE"/>
    <w:rsid w:val="00F7692C"/>
    <w:rsid w:val="00F77222"/>
    <w:rsid w:val="00F8107B"/>
    <w:rsid w:val="00F82484"/>
    <w:rsid w:val="00F83CC3"/>
    <w:rsid w:val="00F846A0"/>
    <w:rsid w:val="00F930B8"/>
    <w:rsid w:val="00F944A1"/>
    <w:rsid w:val="00F950A8"/>
    <w:rsid w:val="00F9531A"/>
    <w:rsid w:val="00F95A87"/>
    <w:rsid w:val="00FA2131"/>
    <w:rsid w:val="00FA3742"/>
    <w:rsid w:val="00FA40A9"/>
    <w:rsid w:val="00FA5CAD"/>
    <w:rsid w:val="00FA6DF2"/>
    <w:rsid w:val="00FB14CA"/>
    <w:rsid w:val="00FB2728"/>
    <w:rsid w:val="00FB4C29"/>
    <w:rsid w:val="00FB5FC1"/>
    <w:rsid w:val="00FB69C9"/>
    <w:rsid w:val="00FC088B"/>
    <w:rsid w:val="00FC2714"/>
    <w:rsid w:val="00FD100B"/>
    <w:rsid w:val="00FD367A"/>
    <w:rsid w:val="00FD5E11"/>
    <w:rsid w:val="00FD66A2"/>
    <w:rsid w:val="00FE1EB2"/>
    <w:rsid w:val="00FE30E6"/>
    <w:rsid w:val="00FE4A7A"/>
    <w:rsid w:val="00FF09EF"/>
    <w:rsid w:val="00FF1052"/>
    <w:rsid w:val="00FF1FC8"/>
    <w:rsid w:val="00FF7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7697"/>
    <o:shapelayout v:ext="edit">
      <o:idmap v:ext="edit" data="1"/>
    </o:shapelayout>
  </w:shapeDefaults>
  <w:decimalSymbol w:val="."/>
  <w:listSeparator w:val=";"/>
  <w14:docId w14:val="18032F07"/>
  <w15:docId w15:val="{BFDB704D-EFFF-4E6F-9941-941894344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728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632EAA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-tteCar">
    <w:name w:val="En-tête Car"/>
    <w:basedOn w:val="Policepardfaut"/>
    <w:link w:val="En-tte"/>
    <w:uiPriority w:val="99"/>
    <w:rsid w:val="00632EAA"/>
  </w:style>
  <w:style w:type="paragraph" w:styleId="Pieddepage">
    <w:name w:val="footer"/>
    <w:basedOn w:val="Normal"/>
    <w:link w:val="PieddepageCar"/>
    <w:uiPriority w:val="99"/>
    <w:unhideWhenUsed/>
    <w:rsid w:val="00632EAA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depageCar">
    <w:name w:val="Pied de page Car"/>
    <w:basedOn w:val="Policepardfaut"/>
    <w:link w:val="Pieddepage"/>
    <w:uiPriority w:val="99"/>
    <w:rsid w:val="00632EAA"/>
  </w:style>
  <w:style w:type="paragraph" w:styleId="Textedebulles">
    <w:name w:val="Balloon Text"/>
    <w:basedOn w:val="Normal"/>
    <w:link w:val="TextedebullesCar"/>
    <w:uiPriority w:val="99"/>
    <w:semiHidden/>
    <w:unhideWhenUsed/>
    <w:rsid w:val="00D40055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40055"/>
    <w:rPr>
      <w:rFonts w:ascii="Tahoma" w:eastAsia="Times New Roman" w:hAnsi="Tahoma" w:cs="Tahoma"/>
      <w:sz w:val="16"/>
      <w:szCs w:val="16"/>
      <w:lang w:eastAsia="fr-FR"/>
    </w:rPr>
  </w:style>
  <w:style w:type="paragraph" w:styleId="Paragraphedeliste">
    <w:name w:val="List Paragraph"/>
    <w:basedOn w:val="Normal"/>
    <w:uiPriority w:val="34"/>
    <w:qFormat/>
    <w:rsid w:val="000D66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C874AB-30BB-46B1-8743-F19FF56CB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3468</TotalTime>
  <Pages>10</Pages>
  <Words>955</Words>
  <Characters>5253</Characters>
  <Application>Microsoft Office Word</Application>
  <DocSecurity>0</DocSecurity>
  <Lines>43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Attal Jean Luc</dc:creator>
  <cp:keywords/>
  <dc:description/>
  <cp:lastModifiedBy>Attal Jean-Luc</cp:lastModifiedBy>
  <cp:revision>845</cp:revision>
  <cp:lastPrinted>2018-03-12T09:18:00Z</cp:lastPrinted>
  <dcterms:created xsi:type="dcterms:W3CDTF">2018-02-02T13:49:00Z</dcterms:created>
  <dcterms:modified xsi:type="dcterms:W3CDTF">2018-08-20T08:08:00Z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97e4f81-4b1c-4a3a-b237-8636707719dc_Enabled">
    <vt:lpwstr>True</vt:lpwstr>
  </property>
  <property fmtid="{D5CDD505-2E9C-101B-9397-08002B2CF9AE}" pid="3" name="MSIP_Label_797e4f81-4b1c-4a3a-b237-8636707719dc_SiteId">
    <vt:lpwstr>d5bb6d35-8a82-4329-b49a-5030bd6497ab</vt:lpwstr>
  </property>
  <property fmtid="{D5CDD505-2E9C-101B-9397-08002B2CF9AE}" pid="4" name="MSIP_Label_797e4f81-4b1c-4a3a-b237-8636707719dc_Owner">
    <vt:lpwstr>jean-luc.attal@ostrum.com</vt:lpwstr>
  </property>
  <property fmtid="{D5CDD505-2E9C-101B-9397-08002B2CF9AE}" pid="5" name="MSIP_Label_797e4f81-4b1c-4a3a-b237-8636707719dc_SetDate">
    <vt:lpwstr>2018-08-17T09:31:26.2603357Z</vt:lpwstr>
  </property>
  <property fmtid="{D5CDD505-2E9C-101B-9397-08002B2CF9AE}" pid="6" name="MSIP_Label_797e4f81-4b1c-4a3a-b237-8636707719dc_Name">
    <vt:lpwstr>C2 - Internal Natixis</vt:lpwstr>
  </property>
  <property fmtid="{D5CDD505-2E9C-101B-9397-08002B2CF9AE}" pid="7" name="MSIP_Label_797e4f81-4b1c-4a3a-b237-8636707719dc_Application">
    <vt:lpwstr>Microsoft Azure Information Protection</vt:lpwstr>
  </property>
  <property fmtid="{D5CDD505-2E9C-101B-9397-08002B2CF9AE}" pid="8" name="MSIP_Label_797e4f81-4b1c-4a3a-b237-8636707719dc_Extended_MSFT_Method">
    <vt:lpwstr>Automatic</vt:lpwstr>
  </property>
  <property fmtid="{D5CDD505-2E9C-101B-9397-08002B2CF9AE}" pid="9" name="Sensitivity">
    <vt:lpwstr>C2 - Internal Natixis</vt:lpwstr>
  </property>
</Properties>
</file>