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B0131A">
        <w:rPr>
          <w:rFonts w:ascii="Calibri Light" w:hAnsi="Calibri Light" w:cs="Arial"/>
          <w:b/>
          <w:sz w:val="44"/>
          <w:szCs w:val="44"/>
        </w:rPr>
        <w:t>03 Septembre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proofErr w:type="spellStart"/>
      <w:r w:rsidRPr="0059618B">
        <w:rPr>
          <w:rFonts w:ascii="Arial" w:hAnsi="Arial" w:cs="Arial"/>
          <w:b/>
          <w:sz w:val="28"/>
          <w:szCs w:val="28"/>
          <w:u w:val="single"/>
        </w:rPr>
        <w:t>Monthly</w:t>
      </w:r>
      <w:proofErr w:type="spellEnd"/>
    </w:p>
    <w:p w:rsidR="00F72829" w:rsidRPr="00613E70" w:rsidRDefault="003505F9" w:rsidP="00B65AF1">
      <w:pPr>
        <w:autoSpaceDE w:val="0"/>
        <w:ind w:left="-283"/>
        <w:jc w:val="both"/>
        <w:rPr>
          <w:rFonts w:ascii="Arial" w:hAnsi="Arial" w:cs="Arial"/>
          <w:b/>
          <w:sz w:val="28"/>
          <w:szCs w:val="28"/>
          <w:u w:val="single"/>
        </w:rPr>
      </w:pPr>
      <w:r w:rsidRPr="003505F9">
        <w:rPr>
          <w:rFonts w:ascii="Arial" w:hAnsi="Arial" w:cs="Arial"/>
          <w:b/>
          <w:noProof/>
          <w:sz w:val="28"/>
          <w:szCs w:val="28"/>
          <w:u w:val="single"/>
        </w:rPr>
        <w:drawing>
          <wp:inline distT="0" distB="0" distL="0" distR="0">
            <wp:extent cx="6645275" cy="4086225"/>
            <wp:effectExtent l="0" t="0" r="3175" b="9525"/>
            <wp:docPr id="1" name="Image 1" descr="C:\Users\jlattal\AppData\Local\Temp\Bloomberg\temp\bfm4BB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Temp\Bloomberg\temp\bfm4BB2.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680" cy="4087089"/>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0D4E0C" w:rsidRDefault="003505F9" w:rsidP="00B23A4D">
      <w:pPr>
        <w:autoSpaceDE w:val="0"/>
        <w:ind w:left="-283"/>
        <w:jc w:val="both"/>
        <w:rPr>
          <w:rFonts w:ascii="Arial" w:hAnsi="Arial" w:cs="Arial"/>
          <w:b/>
          <w:sz w:val="28"/>
          <w:szCs w:val="28"/>
          <w:u w:val="single"/>
        </w:rPr>
      </w:pPr>
      <w:r w:rsidRPr="003505F9">
        <w:rPr>
          <w:rFonts w:ascii="Arial" w:hAnsi="Arial" w:cs="Arial"/>
          <w:b/>
          <w:noProof/>
          <w:sz w:val="28"/>
          <w:szCs w:val="28"/>
          <w:u w:val="single"/>
        </w:rPr>
        <w:drawing>
          <wp:inline distT="0" distB="0" distL="0" distR="0">
            <wp:extent cx="6645330" cy="4314825"/>
            <wp:effectExtent l="0" t="0" r="3175" b="0"/>
            <wp:docPr id="3" name="Image 3" descr="C:\Users\jlattal\AppData\Local\Temp\Bloomberg\temp\bfmD2F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attal\AppData\Local\Temp\Bloomberg\temp\bfmD2F4.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075" cy="4315309"/>
                    </a:xfrm>
                    <a:prstGeom prst="rect">
                      <a:avLst/>
                    </a:prstGeom>
                    <a:noFill/>
                    <a:ln>
                      <a:noFill/>
                    </a:ln>
                  </pic:spPr>
                </pic:pic>
              </a:graphicData>
            </a:graphic>
          </wp:inline>
        </w:drawing>
      </w:r>
    </w:p>
    <w:p w:rsidR="00A85203" w:rsidRPr="00613E70" w:rsidRDefault="00A85203" w:rsidP="00B23A4D">
      <w:pPr>
        <w:autoSpaceDE w:val="0"/>
        <w:ind w:left="-283"/>
        <w:jc w:val="both"/>
        <w:rPr>
          <w:rFonts w:ascii="Arial" w:hAnsi="Arial" w:cs="Arial"/>
          <w:b/>
          <w:sz w:val="28"/>
          <w:szCs w:val="28"/>
          <w:u w:val="single"/>
        </w:rPr>
      </w:pPr>
    </w:p>
    <w:p w:rsidR="000D4E0C" w:rsidRPr="00613E70" w:rsidRDefault="005E3841" w:rsidP="00B65AF1">
      <w:pPr>
        <w:autoSpaceDE w:val="0"/>
        <w:ind w:left="-851"/>
        <w:jc w:val="both"/>
        <w:rPr>
          <w:rFonts w:ascii="Arial" w:hAnsi="Arial" w:cs="Arial"/>
          <w:b/>
          <w:sz w:val="28"/>
          <w:szCs w:val="28"/>
          <w:u w:val="single"/>
        </w:rPr>
      </w:pPr>
      <w:r w:rsidRPr="00613E70">
        <w:rPr>
          <w:rFonts w:ascii="Arial" w:hAnsi="Arial" w:cs="Arial"/>
          <w:b/>
          <w:sz w:val="28"/>
          <w:szCs w:val="28"/>
        </w:rPr>
        <w:lastRenderedPageBreak/>
        <w:t xml:space="preserve">           </w:t>
      </w:r>
      <w:r w:rsidR="000D4E0C" w:rsidRPr="00613E70">
        <w:rPr>
          <w:rFonts w:ascii="Arial" w:hAnsi="Arial" w:cs="Arial"/>
          <w:b/>
          <w:sz w:val="28"/>
          <w:szCs w:val="28"/>
          <w:u w:val="single"/>
        </w:rPr>
        <w:t>Daily</w:t>
      </w:r>
    </w:p>
    <w:p w:rsidR="00AC18B9" w:rsidRDefault="003505F9" w:rsidP="00050AE9">
      <w:pPr>
        <w:autoSpaceDE w:val="0"/>
        <w:ind w:left="-283"/>
        <w:jc w:val="both"/>
        <w:rPr>
          <w:rFonts w:ascii="Arial" w:hAnsi="Arial" w:cs="Arial"/>
          <w:b/>
          <w:sz w:val="28"/>
          <w:szCs w:val="28"/>
          <w:u w:val="single"/>
        </w:rPr>
      </w:pPr>
      <w:r w:rsidRPr="003505F9">
        <w:rPr>
          <w:rFonts w:ascii="Arial" w:hAnsi="Arial" w:cs="Arial"/>
          <w:b/>
          <w:noProof/>
          <w:sz w:val="28"/>
          <w:szCs w:val="28"/>
          <w:u w:val="single"/>
        </w:rPr>
        <w:drawing>
          <wp:inline distT="0" distB="0" distL="0" distR="0">
            <wp:extent cx="6645330" cy="4076700"/>
            <wp:effectExtent l="0" t="0" r="3175" b="0"/>
            <wp:docPr id="4" name="Image 4" descr="C:\Users\jlattal\AppData\Local\Temp\Bloomberg\temp\bfmD93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lattal\AppData\Local\Temp\Bloomberg\temp\bfmD93D.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185" cy="4077225"/>
                    </a:xfrm>
                    <a:prstGeom prst="rect">
                      <a:avLst/>
                    </a:prstGeom>
                    <a:noFill/>
                    <a:ln>
                      <a:noFill/>
                    </a:ln>
                  </pic:spPr>
                </pic:pic>
              </a:graphicData>
            </a:graphic>
          </wp:inline>
        </w:drawing>
      </w:r>
    </w:p>
    <w:p w:rsidR="00923DBC" w:rsidRPr="00613E70" w:rsidRDefault="00923DBC" w:rsidP="003505F9">
      <w:pPr>
        <w:autoSpaceDE w:val="0"/>
        <w:jc w:val="both"/>
        <w:rPr>
          <w:rFonts w:ascii="Arial" w:hAnsi="Arial" w:cs="Arial"/>
          <w:b/>
          <w:sz w:val="28"/>
          <w:szCs w:val="28"/>
          <w:u w:val="single"/>
        </w:rPr>
      </w:pPr>
    </w:p>
    <w:p w:rsidR="006B5DB2" w:rsidRDefault="00F72829" w:rsidP="00B0131A">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sidRPr="00B35114">
        <w:rPr>
          <w:rFonts w:ascii="Tahoma" w:hAnsi="Tahoma" w:cs="Tahoma"/>
        </w:rPr>
        <w:t xml:space="preserve">Le </w:t>
      </w:r>
      <w:r w:rsidR="00612E2D">
        <w:rPr>
          <w:rFonts w:ascii="Tahoma" w:hAnsi="Tahoma" w:cs="Tahoma"/>
        </w:rPr>
        <w:t xml:space="preserve">contexte de long terme est baissier sans tendance. Le taux évolue sous la borne basse de son nuage qui </w:t>
      </w:r>
      <w:r w:rsidR="007E15A1">
        <w:rPr>
          <w:rFonts w:ascii="Tahoma" w:hAnsi="Tahoma" w:cs="Tahoma"/>
        </w:rPr>
        <w:t>sera pour</w:t>
      </w:r>
      <w:r w:rsidR="00612E2D">
        <w:rPr>
          <w:rFonts w:ascii="Tahoma" w:hAnsi="Tahoma" w:cs="Tahoma"/>
        </w:rPr>
        <w:t xml:space="preserve"> septembre </w:t>
      </w:r>
      <w:r w:rsidR="007E15A1">
        <w:rPr>
          <w:rFonts w:ascii="Tahoma" w:hAnsi="Tahoma" w:cs="Tahoma"/>
        </w:rPr>
        <w:t>sur</w:t>
      </w:r>
      <w:r w:rsidR="00612E2D">
        <w:rPr>
          <w:rFonts w:ascii="Tahoma" w:hAnsi="Tahoma" w:cs="Tahoma"/>
        </w:rPr>
        <w:t xml:space="preserve"> 0.4</w:t>
      </w:r>
      <w:r w:rsidR="007E15A1">
        <w:rPr>
          <w:rFonts w:ascii="Tahoma" w:hAnsi="Tahoma" w:cs="Tahoma"/>
        </w:rPr>
        <w:t>1</w:t>
      </w:r>
      <w:r w:rsidR="00612E2D">
        <w:rPr>
          <w:rFonts w:ascii="Tahoma" w:hAnsi="Tahoma" w:cs="Tahoma"/>
        </w:rPr>
        <w:t xml:space="preserve">. Un maintien du marché sous ce point sera </w:t>
      </w:r>
      <w:r w:rsidR="00813A25">
        <w:rPr>
          <w:rFonts w:ascii="Tahoma" w:hAnsi="Tahoma" w:cs="Tahoma"/>
        </w:rPr>
        <w:t>nécessaire</w:t>
      </w:r>
      <w:r w:rsidR="00612E2D">
        <w:rPr>
          <w:rFonts w:ascii="Tahoma" w:hAnsi="Tahoma" w:cs="Tahoma"/>
        </w:rPr>
        <w:t xml:space="preserve"> pour continuer d’avantager </w:t>
      </w:r>
      <w:r w:rsidR="007E15A1">
        <w:rPr>
          <w:rFonts w:ascii="Tahoma" w:hAnsi="Tahoma" w:cs="Tahoma"/>
        </w:rPr>
        <w:t>l’environnement</w:t>
      </w:r>
      <w:r w:rsidR="00612E2D">
        <w:rPr>
          <w:rFonts w:ascii="Tahoma" w:hAnsi="Tahoma" w:cs="Tahoma"/>
        </w:rPr>
        <w:t xml:space="preserve"> baissier </w:t>
      </w:r>
      <w:r w:rsidR="007E15A1">
        <w:rPr>
          <w:rFonts w:ascii="Tahoma" w:hAnsi="Tahoma" w:cs="Tahoma"/>
        </w:rPr>
        <w:t>sur</w:t>
      </w:r>
      <w:r w:rsidR="00612E2D">
        <w:rPr>
          <w:rFonts w:ascii="Tahoma" w:hAnsi="Tahoma" w:cs="Tahoma"/>
        </w:rPr>
        <w:t xml:space="preserve"> cet horizon de temps.</w:t>
      </w:r>
    </w:p>
    <w:p w:rsidR="00612E2D" w:rsidRDefault="00612E2D" w:rsidP="00B0131A">
      <w:pPr>
        <w:jc w:val="both"/>
        <w:rPr>
          <w:rFonts w:ascii="Tahoma" w:hAnsi="Tahoma" w:cs="Tahoma"/>
        </w:rPr>
      </w:pPr>
      <w:r>
        <w:rPr>
          <w:rFonts w:ascii="Tahoma" w:hAnsi="Tahoma" w:cs="Tahoma"/>
        </w:rPr>
        <w:t xml:space="preserve">TS et KS sont plates sur respectivement 0.50 et 0.30. </w:t>
      </w:r>
    </w:p>
    <w:p w:rsidR="00612E2D" w:rsidRDefault="00612E2D" w:rsidP="00B0131A">
      <w:pPr>
        <w:jc w:val="both"/>
        <w:rPr>
          <w:rFonts w:ascii="Tahoma" w:hAnsi="Tahoma" w:cs="Tahoma"/>
        </w:rPr>
      </w:pPr>
      <w:r>
        <w:rPr>
          <w:rFonts w:ascii="Tahoma" w:hAnsi="Tahoma" w:cs="Tahoma"/>
        </w:rPr>
        <w:t>Dans ce contexte une pénétration du nuage en cassure de 0.4</w:t>
      </w:r>
      <w:r w:rsidR="007E15A1">
        <w:rPr>
          <w:rFonts w:ascii="Tahoma" w:hAnsi="Tahoma" w:cs="Tahoma"/>
        </w:rPr>
        <w:t>1</w:t>
      </w:r>
      <w:r>
        <w:rPr>
          <w:rFonts w:ascii="Tahoma" w:hAnsi="Tahoma" w:cs="Tahoma"/>
        </w:rPr>
        <w:t xml:space="preserve"> devra être confirmée par une cassure de la TS de 0.50</w:t>
      </w:r>
      <w:r w:rsidR="004225A5">
        <w:rPr>
          <w:rFonts w:ascii="Tahoma" w:hAnsi="Tahoma" w:cs="Tahoma"/>
        </w:rPr>
        <w:t xml:space="preserve"> pour envisager une poursuite de la </w:t>
      </w:r>
      <w:r w:rsidR="007E15A1">
        <w:rPr>
          <w:rFonts w:ascii="Tahoma" w:hAnsi="Tahoma" w:cs="Tahoma"/>
        </w:rPr>
        <w:t>hausse</w:t>
      </w:r>
      <w:r w:rsidR="004225A5">
        <w:rPr>
          <w:rFonts w:ascii="Tahoma" w:hAnsi="Tahoma" w:cs="Tahoma"/>
        </w:rPr>
        <w:t>.</w:t>
      </w:r>
    </w:p>
    <w:p w:rsidR="00D67E50" w:rsidRDefault="00D67E50" w:rsidP="00D67E50">
      <w:pPr>
        <w:jc w:val="both"/>
        <w:rPr>
          <w:rFonts w:ascii="Tahoma" w:hAnsi="Tahoma" w:cs="Tahoma"/>
        </w:rPr>
      </w:pPr>
    </w:p>
    <w:p w:rsidR="00153318" w:rsidRDefault="003A1222" w:rsidP="00B0131A">
      <w:pPr>
        <w:jc w:val="both"/>
        <w:rPr>
          <w:rFonts w:ascii="Tahoma" w:hAnsi="Tahoma" w:cs="Tahoma"/>
        </w:rPr>
      </w:pPr>
      <w:r w:rsidRPr="008631EB">
        <w:rPr>
          <w:rFonts w:ascii="Arial" w:hAnsi="Arial" w:cs="Arial"/>
          <w:b/>
          <w:bCs/>
        </w:rPr>
        <w:t xml:space="preserve">W : </w:t>
      </w:r>
      <w:r w:rsidR="009A1C33">
        <w:rPr>
          <w:rFonts w:ascii="Tahoma" w:hAnsi="Tahoma" w:cs="Tahoma"/>
        </w:rPr>
        <w:t xml:space="preserve">Le moyen terme évolue sans tendance </w:t>
      </w:r>
      <w:r w:rsidR="00813A25">
        <w:rPr>
          <w:rFonts w:ascii="Tahoma" w:hAnsi="Tahoma" w:cs="Tahoma"/>
        </w:rPr>
        <w:t>au-dessus</w:t>
      </w:r>
      <w:r w:rsidR="009A1C33">
        <w:rPr>
          <w:rFonts w:ascii="Tahoma" w:hAnsi="Tahoma" w:cs="Tahoma"/>
        </w:rPr>
        <w:t xml:space="preserve"> de la zone support de 0.28/0.30.</w:t>
      </w:r>
      <w:r w:rsidR="00153318">
        <w:rPr>
          <w:rFonts w:ascii="Tahoma" w:hAnsi="Tahoma" w:cs="Tahoma"/>
        </w:rPr>
        <w:t xml:space="preserve"> </w:t>
      </w:r>
      <w:r w:rsidR="00B16898">
        <w:rPr>
          <w:rFonts w:ascii="Tahoma" w:hAnsi="Tahoma" w:cs="Tahoma"/>
        </w:rPr>
        <w:t>L</w:t>
      </w:r>
      <w:r w:rsidR="00153318">
        <w:rPr>
          <w:rFonts w:ascii="Tahoma" w:hAnsi="Tahoma" w:cs="Tahoma"/>
        </w:rPr>
        <w:t xml:space="preserve">a KS restera plate plusieurs semaines </w:t>
      </w:r>
      <w:r w:rsidR="00B16898">
        <w:rPr>
          <w:rFonts w:ascii="Tahoma" w:hAnsi="Tahoma" w:cs="Tahoma"/>
        </w:rPr>
        <w:t xml:space="preserve">sur 0.42 </w:t>
      </w:r>
      <w:r w:rsidR="00153318">
        <w:rPr>
          <w:rFonts w:ascii="Tahoma" w:hAnsi="Tahoma" w:cs="Tahoma"/>
        </w:rPr>
        <w:t>et servira de résistance a</w:t>
      </w:r>
      <w:r w:rsidR="00B16898">
        <w:rPr>
          <w:rFonts w:ascii="Tahoma" w:hAnsi="Tahoma" w:cs="Tahoma"/>
        </w:rPr>
        <w:t xml:space="preserve">vant la bordure basse du nuage de </w:t>
      </w:r>
      <w:r w:rsidR="00153318">
        <w:rPr>
          <w:rFonts w:ascii="Tahoma" w:hAnsi="Tahoma" w:cs="Tahoma"/>
        </w:rPr>
        <w:t xml:space="preserve">0.48. Le plat de nuage futur sur 0.50 </w:t>
      </w:r>
      <w:r w:rsidR="00B16898">
        <w:rPr>
          <w:rFonts w:ascii="Tahoma" w:hAnsi="Tahoma" w:cs="Tahoma"/>
        </w:rPr>
        <w:t>renforcera</w:t>
      </w:r>
      <w:r w:rsidR="00153318">
        <w:rPr>
          <w:rFonts w:ascii="Tahoma" w:hAnsi="Tahoma" w:cs="Tahoma"/>
        </w:rPr>
        <w:t xml:space="preserve"> la résistance de 0.48.</w:t>
      </w:r>
    </w:p>
    <w:p w:rsidR="00BC69CA" w:rsidRDefault="00BC69CA" w:rsidP="00B0131A">
      <w:pPr>
        <w:jc w:val="both"/>
        <w:rPr>
          <w:rFonts w:ascii="Tahoma" w:hAnsi="Tahoma" w:cs="Tahoma"/>
        </w:rPr>
      </w:pPr>
      <w:r>
        <w:rPr>
          <w:rFonts w:ascii="Tahoma" w:hAnsi="Tahoma" w:cs="Tahoma"/>
        </w:rPr>
        <w:t>Quoi qu’il en soit, la direction horizontale des courbes Ichimoku résulte d’un marché qui n’est plus en tendance.</w:t>
      </w:r>
    </w:p>
    <w:p w:rsidR="00153318" w:rsidRDefault="00153318" w:rsidP="00B0131A">
      <w:pPr>
        <w:jc w:val="both"/>
        <w:rPr>
          <w:rFonts w:ascii="Tahoma" w:hAnsi="Tahoma" w:cs="Tahoma"/>
        </w:rPr>
      </w:pPr>
    </w:p>
    <w:p w:rsidR="005C608B" w:rsidRDefault="00A82504" w:rsidP="00B0131A">
      <w:pPr>
        <w:jc w:val="both"/>
        <w:rPr>
          <w:rFonts w:ascii="Tahoma" w:hAnsi="Tahoma" w:cs="Tahoma"/>
        </w:rPr>
      </w:pPr>
      <w:r w:rsidRPr="008631EB">
        <w:rPr>
          <w:rFonts w:ascii="Arial" w:hAnsi="Arial" w:cs="Arial"/>
          <w:b/>
          <w:bCs/>
        </w:rPr>
        <w:t xml:space="preserve">D : </w:t>
      </w:r>
      <w:r w:rsidR="00C7405E">
        <w:rPr>
          <w:rFonts w:ascii="Tahoma" w:hAnsi="Tahoma" w:cs="Tahoma"/>
        </w:rPr>
        <w:t>Le</w:t>
      </w:r>
      <w:r w:rsidR="00A00FAE">
        <w:rPr>
          <w:rFonts w:ascii="Tahoma" w:hAnsi="Tahoma" w:cs="Tahoma"/>
        </w:rPr>
        <w:t xml:space="preserve"> blocage de la hausse </w:t>
      </w:r>
      <w:proofErr w:type="gramStart"/>
      <w:r w:rsidR="00A00FAE">
        <w:rPr>
          <w:rFonts w:ascii="Tahoma" w:hAnsi="Tahoma" w:cs="Tahoma"/>
        </w:rPr>
        <w:t>du 10 ans</w:t>
      </w:r>
      <w:proofErr w:type="gramEnd"/>
      <w:r w:rsidR="00A00FAE">
        <w:rPr>
          <w:rFonts w:ascii="Tahoma" w:hAnsi="Tahoma" w:cs="Tahoma"/>
        </w:rPr>
        <w:t xml:space="preserve"> sous la borne haute du nuage Daily de 0.42, </w:t>
      </w:r>
      <w:r w:rsidR="005C608B">
        <w:rPr>
          <w:rFonts w:ascii="Tahoma" w:hAnsi="Tahoma" w:cs="Tahoma"/>
        </w:rPr>
        <w:t xml:space="preserve">remet en question le rebond qui a débuté </w:t>
      </w:r>
      <w:r w:rsidR="00813A25">
        <w:rPr>
          <w:rFonts w:ascii="Tahoma" w:hAnsi="Tahoma" w:cs="Tahoma"/>
        </w:rPr>
        <w:t>mi-août</w:t>
      </w:r>
      <w:r w:rsidR="005C608B">
        <w:rPr>
          <w:rFonts w:ascii="Tahoma" w:hAnsi="Tahoma" w:cs="Tahoma"/>
        </w:rPr>
        <w:t>.</w:t>
      </w:r>
    </w:p>
    <w:p w:rsidR="00A00FAE" w:rsidRPr="00FE4A7A" w:rsidRDefault="00A00FAE" w:rsidP="00B0131A">
      <w:pPr>
        <w:jc w:val="both"/>
        <w:rPr>
          <w:rFonts w:ascii="Tahoma" w:hAnsi="Tahoma" w:cs="Tahoma"/>
        </w:rPr>
      </w:pPr>
      <w:r>
        <w:rPr>
          <w:rFonts w:ascii="Tahoma" w:hAnsi="Tahoma" w:cs="Tahoma"/>
        </w:rPr>
        <w:t xml:space="preserve">La baisse comprise entre 0.41 et </w:t>
      </w:r>
      <w:r w:rsidR="005C608B">
        <w:rPr>
          <w:rFonts w:ascii="Tahoma" w:hAnsi="Tahoma" w:cs="Tahoma"/>
        </w:rPr>
        <w:t>0.32</w:t>
      </w:r>
      <w:r>
        <w:rPr>
          <w:rFonts w:ascii="Tahoma" w:hAnsi="Tahoma" w:cs="Tahoma"/>
        </w:rPr>
        <w:t xml:space="preserve"> n’a pas invers</w:t>
      </w:r>
      <w:r w:rsidR="00D913FF">
        <w:rPr>
          <w:rFonts w:ascii="Tahoma" w:hAnsi="Tahoma" w:cs="Tahoma"/>
        </w:rPr>
        <w:t>é</w:t>
      </w:r>
      <w:r>
        <w:rPr>
          <w:rFonts w:ascii="Tahoma" w:hAnsi="Tahoma" w:cs="Tahoma"/>
        </w:rPr>
        <w:t xml:space="preserve"> la direction des courbes Ichimoku. Le marché devra </w:t>
      </w:r>
      <w:r w:rsidR="00D913FF">
        <w:rPr>
          <w:rFonts w:ascii="Tahoma" w:hAnsi="Tahoma" w:cs="Tahoma"/>
        </w:rPr>
        <w:t xml:space="preserve">dans ce cas </w:t>
      </w:r>
      <w:r>
        <w:rPr>
          <w:rFonts w:ascii="Tahoma" w:hAnsi="Tahoma" w:cs="Tahoma"/>
        </w:rPr>
        <w:t xml:space="preserve">casser le bas de 0.32 pour voir la TS repartir à la baisse et avantager </w:t>
      </w:r>
      <w:r w:rsidR="00D913FF">
        <w:rPr>
          <w:rFonts w:ascii="Tahoma" w:hAnsi="Tahoma" w:cs="Tahoma"/>
        </w:rPr>
        <w:t xml:space="preserve">un mouvement de </w:t>
      </w:r>
      <w:r w:rsidR="00813A25">
        <w:rPr>
          <w:rFonts w:ascii="Tahoma" w:hAnsi="Tahoma" w:cs="Tahoma"/>
        </w:rPr>
        <w:t>baisse, limité</w:t>
      </w:r>
      <w:r w:rsidR="00D913FF">
        <w:rPr>
          <w:rFonts w:ascii="Tahoma" w:hAnsi="Tahoma" w:cs="Tahoma"/>
        </w:rPr>
        <w:t xml:space="preserve"> dans un premier temps au</w:t>
      </w:r>
      <w:r>
        <w:rPr>
          <w:rFonts w:ascii="Tahoma" w:hAnsi="Tahoma" w:cs="Tahoma"/>
        </w:rPr>
        <w:t xml:space="preserve"> support de 0.28/0.30. </w:t>
      </w:r>
    </w:p>
    <w:p w:rsidR="009F220A" w:rsidRPr="00FA5CAD" w:rsidRDefault="009F220A" w:rsidP="00FD5E11">
      <w:pPr>
        <w:jc w:val="both"/>
        <w:rPr>
          <w:rFonts w:ascii="Tahoma" w:hAnsi="Tahoma" w:cs="Tahoma"/>
        </w:rPr>
      </w:pPr>
    </w:p>
    <w:p w:rsidR="00A85203" w:rsidRPr="00A85203" w:rsidRDefault="00F72829" w:rsidP="00F72829">
      <w:pPr>
        <w:jc w:val="both"/>
        <w:rPr>
          <w:rFonts w:ascii="Arial" w:hAnsi="Arial" w:cs="Arial"/>
          <w:b/>
          <w:color w:val="00B050"/>
        </w:rPr>
      </w:pPr>
      <w:r w:rsidRPr="004E4DA1">
        <w:rPr>
          <w:rFonts w:ascii="Arial" w:hAnsi="Arial" w:cs="Arial"/>
          <w:b/>
          <w:color w:val="00B050"/>
          <w:u w:val="single"/>
        </w:rPr>
        <w:t>HEBDOMADAIRE</w:t>
      </w:r>
      <w:r w:rsidRPr="004E4DA1">
        <w:rPr>
          <w:rFonts w:ascii="Arial" w:hAnsi="Arial" w:cs="Arial"/>
          <w:b/>
          <w:color w:val="00B050"/>
        </w:rPr>
        <w:t xml:space="preserve"> : </w:t>
      </w:r>
      <w:r w:rsidR="00C07B96" w:rsidRPr="004E4DA1">
        <w:rPr>
          <w:rFonts w:ascii="Arial" w:hAnsi="Arial" w:cs="Arial"/>
          <w:b/>
          <w:color w:val="00B050"/>
        </w:rPr>
        <w:t>Le 10 ans Euro reste cadré par un support à 0.30 et une résistance à 0.50. Sur le court terme, la hausse d</w:t>
      </w:r>
      <w:r w:rsidR="004E4DA1" w:rsidRPr="004E4DA1">
        <w:rPr>
          <w:rFonts w:ascii="Arial" w:hAnsi="Arial" w:cs="Arial"/>
          <w:b/>
          <w:color w:val="00B050"/>
        </w:rPr>
        <w:t xml:space="preserve">u marché s’est retrouvée bloquée sous la résistance de 0.42. Le maintien du taux sous ce point permettra d’écarter la hausse de l’analyse. Il faudra attendre la cassure de 0.32 pour retrouver une dynamique </w:t>
      </w:r>
      <w:r w:rsidR="00C97C00">
        <w:rPr>
          <w:rFonts w:ascii="Arial" w:hAnsi="Arial" w:cs="Arial"/>
          <w:b/>
          <w:color w:val="00B050"/>
        </w:rPr>
        <w:t>avantageant</w:t>
      </w:r>
      <w:r w:rsidR="004E4DA1" w:rsidRPr="004E4DA1">
        <w:rPr>
          <w:rFonts w:ascii="Arial" w:hAnsi="Arial" w:cs="Arial"/>
          <w:b/>
          <w:color w:val="00B050"/>
        </w:rPr>
        <w:t xml:space="preserve"> la baisse. Face à cette rupture, la zone 0.28/0.30 servira de support.</w:t>
      </w:r>
    </w:p>
    <w:p w:rsidR="003505F9" w:rsidRPr="0090423A" w:rsidRDefault="003505F9" w:rsidP="00F72829">
      <w:pPr>
        <w:jc w:val="both"/>
        <w:rPr>
          <w:rFonts w:ascii="Tahoma" w:hAnsi="Tahoma" w:cs="Tahoma"/>
        </w:rPr>
      </w:pPr>
    </w:p>
    <w:p w:rsidR="00A85203" w:rsidRPr="0090423A" w:rsidRDefault="00A85203" w:rsidP="00F72829">
      <w:pPr>
        <w:jc w:val="both"/>
        <w:rPr>
          <w:rFonts w:ascii="Tahoma" w:hAnsi="Tahoma" w:cs="Tahoma"/>
        </w:rPr>
      </w:pPr>
    </w:p>
    <w:p w:rsidR="00F72829" w:rsidRPr="0090423A"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F72829" w:rsidRPr="0090423A">
        <w:rPr>
          <w:rFonts w:ascii="Arial" w:hAnsi="Arial" w:cs="Arial"/>
          <w:b/>
          <w:bCs/>
          <w:sz w:val="36"/>
          <w:szCs w:val="36"/>
          <w:u w:val="single"/>
        </w:rPr>
        <w:t xml:space="preserve">10 ans USA </w:t>
      </w:r>
    </w:p>
    <w:p w:rsidR="00F72829" w:rsidRPr="003505F9" w:rsidRDefault="00F72829" w:rsidP="00BE257A">
      <w:pPr>
        <w:jc w:val="both"/>
        <w:rPr>
          <w:rFonts w:ascii="Arial" w:hAnsi="Arial" w:cs="Arial"/>
          <w:b/>
          <w:sz w:val="28"/>
          <w:szCs w:val="28"/>
          <w:u w:val="single"/>
          <w:lang w:val="en-US"/>
        </w:rPr>
      </w:pPr>
      <w:r w:rsidRPr="003505F9">
        <w:rPr>
          <w:rFonts w:ascii="Arial" w:hAnsi="Arial" w:cs="Arial"/>
          <w:b/>
          <w:sz w:val="28"/>
          <w:szCs w:val="28"/>
          <w:u w:val="single"/>
          <w:lang w:val="en-US"/>
        </w:rPr>
        <w:t>Monthly</w:t>
      </w:r>
    </w:p>
    <w:p w:rsidR="00B03AED" w:rsidRPr="00501F69" w:rsidRDefault="003505F9" w:rsidP="00B65AF1">
      <w:pPr>
        <w:ind w:left="-283"/>
        <w:jc w:val="both"/>
        <w:rPr>
          <w:rFonts w:ascii="Arial" w:hAnsi="Arial" w:cs="Arial"/>
          <w:b/>
          <w:bCs/>
          <w:sz w:val="28"/>
          <w:szCs w:val="28"/>
          <w:u w:val="single"/>
          <w:lang w:val="en-US"/>
        </w:rPr>
      </w:pPr>
      <w:r w:rsidRPr="003505F9">
        <w:rPr>
          <w:rFonts w:ascii="Arial" w:hAnsi="Arial" w:cs="Arial"/>
          <w:b/>
          <w:bCs/>
          <w:noProof/>
          <w:sz w:val="28"/>
          <w:szCs w:val="28"/>
          <w:u w:val="single"/>
        </w:rPr>
        <w:drawing>
          <wp:inline distT="0" distB="0" distL="0" distR="0">
            <wp:extent cx="6645330" cy="4219575"/>
            <wp:effectExtent l="0" t="0" r="3175" b="0"/>
            <wp:docPr id="5" name="Image 5" descr="C:\Users\jlattal\AppData\Local\Temp\Bloomberg\temp\bfmC2C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lattal\AppData\Local\Temp\Bloomberg\temp\bfmC2C1.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075" cy="4220048"/>
                    </a:xfrm>
                    <a:prstGeom prst="rect">
                      <a:avLst/>
                    </a:prstGeom>
                    <a:noFill/>
                    <a:ln>
                      <a:noFill/>
                    </a:ln>
                  </pic:spPr>
                </pic:pic>
              </a:graphicData>
            </a:graphic>
          </wp:inline>
        </w:drawing>
      </w:r>
    </w:p>
    <w:p w:rsidR="00B03AED" w:rsidRPr="00501F69" w:rsidRDefault="00B03AED" w:rsidP="006E6472">
      <w:pPr>
        <w:jc w:val="both"/>
        <w:rPr>
          <w:rFonts w:ascii="Arial" w:hAnsi="Arial" w:cs="Arial"/>
          <w:b/>
          <w:bCs/>
          <w:sz w:val="28"/>
          <w:szCs w:val="28"/>
          <w:u w:val="single"/>
          <w:lang w:val="en-US"/>
        </w:rPr>
      </w:pPr>
      <w:r w:rsidRPr="00501F69">
        <w:rPr>
          <w:rFonts w:ascii="Arial" w:hAnsi="Arial" w:cs="Arial"/>
          <w:b/>
          <w:bCs/>
          <w:sz w:val="28"/>
          <w:szCs w:val="28"/>
          <w:u w:val="single"/>
          <w:lang w:val="en-US"/>
        </w:rPr>
        <w:t>Weekly</w:t>
      </w:r>
    </w:p>
    <w:p w:rsidR="006E6472" w:rsidRDefault="003505F9" w:rsidP="00B65AF1">
      <w:pPr>
        <w:ind w:left="-283"/>
        <w:jc w:val="both"/>
        <w:rPr>
          <w:rFonts w:ascii="Arial" w:hAnsi="Arial" w:cs="Arial"/>
          <w:b/>
          <w:bCs/>
          <w:sz w:val="28"/>
          <w:szCs w:val="28"/>
          <w:u w:val="single"/>
          <w:lang w:val="en-US"/>
        </w:rPr>
      </w:pPr>
      <w:r w:rsidRPr="003505F9">
        <w:rPr>
          <w:rFonts w:ascii="Arial" w:hAnsi="Arial" w:cs="Arial"/>
          <w:b/>
          <w:bCs/>
          <w:noProof/>
          <w:sz w:val="28"/>
          <w:szCs w:val="28"/>
          <w:u w:val="single"/>
        </w:rPr>
        <w:drawing>
          <wp:inline distT="0" distB="0" distL="0" distR="0">
            <wp:extent cx="6645275" cy="4371975"/>
            <wp:effectExtent l="0" t="0" r="3175" b="9525"/>
            <wp:docPr id="6" name="Image 6" descr="C:\Users\jlattal\AppData\Local\Temp\Bloomberg\temp\bfm639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attal\AppData\Local\Temp\Bloomberg\temp\bfm6396.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356" cy="4372686"/>
                    </a:xfrm>
                    <a:prstGeom prst="rect">
                      <a:avLst/>
                    </a:prstGeom>
                    <a:noFill/>
                    <a:ln>
                      <a:noFill/>
                    </a:ln>
                  </pic:spPr>
                </pic:pic>
              </a:graphicData>
            </a:graphic>
          </wp:inline>
        </w:drawing>
      </w:r>
    </w:p>
    <w:p w:rsidR="00A85203" w:rsidRPr="00501F69" w:rsidRDefault="00A85203" w:rsidP="00B65AF1">
      <w:pPr>
        <w:ind w:left="-283"/>
        <w:jc w:val="both"/>
        <w:rPr>
          <w:rFonts w:ascii="Arial" w:hAnsi="Arial" w:cs="Arial"/>
          <w:b/>
          <w:bCs/>
          <w:sz w:val="28"/>
          <w:szCs w:val="28"/>
          <w:u w:val="single"/>
          <w:lang w:val="en-US"/>
        </w:rPr>
      </w:pPr>
    </w:p>
    <w:p w:rsidR="00A2655E" w:rsidRPr="003505F9" w:rsidRDefault="00A30EF5" w:rsidP="00571826">
      <w:pPr>
        <w:ind w:left="-850"/>
        <w:jc w:val="both"/>
        <w:rPr>
          <w:rFonts w:ascii="Arial" w:hAnsi="Arial" w:cs="Arial"/>
          <w:b/>
          <w:bCs/>
          <w:sz w:val="28"/>
          <w:szCs w:val="28"/>
          <w:u w:val="single"/>
        </w:rPr>
      </w:pPr>
      <w:r w:rsidRPr="00501F69">
        <w:rPr>
          <w:rFonts w:ascii="Arial" w:hAnsi="Arial" w:cs="Arial"/>
          <w:b/>
          <w:bCs/>
          <w:sz w:val="28"/>
          <w:szCs w:val="28"/>
          <w:lang w:val="en-US"/>
        </w:rPr>
        <w:t xml:space="preserve">       </w:t>
      </w:r>
      <w:r w:rsidR="00B4277F" w:rsidRPr="00501F69">
        <w:rPr>
          <w:rFonts w:ascii="Arial" w:hAnsi="Arial" w:cs="Arial"/>
          <w:b/>
          <w:bCs/>
          <w:sz w:val="28"/>
          <w:szCs w:val="28"/>
          <w:lang w:val="en-US"/>
        </w:rPr>
        <w:t xml:space="preserve">   </w:t>
      </w:r>
      <w:r w:rsidR="00B03AED" w:rsidRPr="003505F9">
        <w:rPr>
          <w:rFonts w:ascii="Arial" w:hAnsi="Arial" w:cs="Arial"/>
          <w:b/>
          <w:bCs/>
          <w:sz w:val="28"/>
          <w:szCs w:val="28"/>
          <w:u w:val="single"/>
        </w:rPr>
        <w:t xml:space="preserve">Daily </w:t>
      </w:r>
    </w:p>
    <w:p w:rsidR="00733AD4" w:rsidRDefault="003505F9" w:rsidP="00F9531A">
      <w:pPr>
        <w:jc w:val="both"/>
        <w:rPr>
          <w:rFonts w:ascii="Arial" w:hAnsi="Arial" w:cs="Arial"/>
          <w:b/>
          <w:bCs/>
          <w:sz w:val="28"/>
          <w:szCs w:val="28"/>
          <w:u w:val="single"/>
        </w:rPr>
      </w:pPr>
      <w:r w:rsidRPr="003505F9">
        <w:rPr>
          <w:rFonts w:ascii="Arial" w:hAnsi="Arial" w:cs="Arial"/>
          <w:b/>
          <w:bCs/>
          <w:noProof/>
          <w:sz w:val="28"/>
          <w:szCs w:val="28"/>
          <w:u w:val="single"/>
        </w:rPr>
        <w:drawing>
          <wp:inline distT="0" distB="0" distL="0" distR="0">
            <wp:extent cx="6645330" cy="4105275"/>
            <wp:effectExtent l="0" t="0" r="3175" b="0"/>
            <wp:docPr id="7" name="Image 7" descr="C:\Users\jlattal\AppData\Local\Temp\Bloomberg\temp\bfm3A4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attal\AppData\Local\Temp\Bloomberg\temp\bfm3A40.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405" cy="4105939"/>
                    </a:xfrm>
                    <a:prstGeom prst="rect">
                      <a:avLst/>
                    </a:prstGeom>
                    <a:noFill/>
                    <a:ln>
                      <a:noFill/>
                    </a:ln>
                  </pic:spPr>
                </pic:pic>
              </a:graphicData>
            </a:graphic>
          </wp:inline>
        </w:drawing>
      </w:r>
    </w:p>
    <w:p w:rsidR="00733AD4" w:rsidRPr="00F4699E" w:rsidRDefault="00733AD4" w:rsidP="00F9531A">
      <w:pPr>
        <w:jc w:val="both"/>
        <w:rPr>
          <w:rFonts w:ascii="Arial" w:hAnsi="Arial" w:cs="Arial"/>
          <w:b/>
          <w:bCs/>
          <w:sz w:val="28"/>
          <w:szCs w:val="28"/>
          <w:u w:val="single"/>
        </w:rPr>
      </w:pPr>
    </w:p>
    <w:p w:rsidR="007C5980" w:rsidRDefault="00D2583B" w:rsidP="00D67E50">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9063A6">
        <w:rPr>
          <w:rFonts w:ascii="Tahoma" w:hAnsi="Tahoma" w:cs="Tahoma"/>
        </w:rPr>
        <w:t xml:space="preserve">La configuration haussière du 10 ans US ne sera pas remise en question tant que marché se maintiendra </w:t>
      </w:r>
      <w:r w:rsidR="0085141A">
        <w:rPr>
          <w:rFonts w:ascii="Tahoma" w:hAnsi="Tahoma" w:cs="Tahoma"/>
        </w:rPr>
        <w:t>au-dessus</w:t>
      </w:r>
      <w:r w:rsidR="009063A6">
        <w:rPr>
          <w:rFonts w:ascii="Tahoma" w:hAnsi="Tahoma" w:cs="Tahoma"/>
        </w:rPr>
        <w:t xml:space="preserve"> du support de 2.69. </w:t>
      </w:r>
    </w:p>
    <w:p w:rsidR="009063A6" w:rsidRPr="00F16B6C" w:rsidRDefault="009063A6" w:rsidP="00D67E50">
      <w:pPr>
        <w:tabs>
          <w:tab w:val="left" w:pos="5868"/>
        </w:tabs>
        <w:autoSpaceDE w:val="0"/>
        <w:jc w:val="both"/>
        <w:rPr>
          <w:rFonts w:ascii="Tahoma" w:hAnsi="Tahoma" w:cs="Tahoma"/>
        </w:rPr>
      </w:pPr>
      <w:r>
        <w:rPr>
          <w:rFonts w:ascii="Tahoma" w:hAnsi="Tahoma" w:cs="Tahoma"/>
        </w:rPr>
        <w:t>De par sa construction, la TS a progressé. Elle sera pour le mois de septembre sur 2.76. Au cours du mois, la rupture de ce support servira d’alerte baissière</w:t>
      </w:r>
      <w:r w:rsidR="00937E37">
        <w:rPr>
          <w:rFonts w:ascii="Tahoma" w:hAnsi="Tahoma" w:cs="Tahoma"/>
        </w:rPr>
        <w:t xml:space="preserve"> permettant d’envisager un </w:t>
      </w:r>
      <w:r>
        <w:rPr>
          <w:rFonts w:ascii="Tahoma" w:hAnsi="Tahoma" w:cs="Tahoma"/>
        </w:rPr>
        <w:t>retour du marché sur le support 2.69.</w:t>
      </w:r>
    </w:p>
    <w:p w:rsidR="00D8157E" w:rsidRDefault="00D8157E" w:rsidP="00D2583B">
      <w:pPr>
        <w:tabs>
          <w:tab w:val="left" w:pos="5868"/>
        </w:tabs>
        <w:autoSpaceDE w:val="0"/>
        <w:jc w:val="both"/>
        <w:rPr>
          <w:rFonts w:ascii="Tahoma" w:hAnsi="Tahoma" w:cs="Tahoma"/>
        </w:rPr>
      </w:pPr>
    </w:p>
    <w:p w:rsidR="007633DD" w:rsidRDefault="00D2583B" w:rsidP="00B0131A">
      <w:pPr>
        <w:jc w:val="both"/>
        <w:rPr>
          <w:rFonts w:ascii="Tahoma" w:hAnsi="Tahoma" w:cs="Tahoma"/>
        </w:rPr>
      </w:pPr>
      <w:bookmarkStart w:id="1" w:name="_Hlk510791573"/>
      <w:r w:rsidRPr="00F950A8">
        <w:rPr>
          <w:rFonts w:ascii="Arial" w:hAnsi="Arial" w:cs="Arial"/>
          <w:b/>
          <w:bCs/>
        </w:rPr>
        <w:t xml:space="preserve">W : </w:t>
      </w:r>
      <w:r w:rsidR="004D2E5B" w:rsidRPr="004D2E5B">
        <w:rPr>
          <w:rFonts w:ascii="Tahoma" w:hAnsi="Tahoma" w:cs="Tahoma"/>
        </w:rPr>
        <w:t xml:space="preserve">Le </w:t>
      </w:r>
      <w:r w:rsidR="00890078">
        <w:rPr>
          <w:rFonts w:ascii="Tahoma" w:hAnsi="Tahoma" w:cs="Tahoma"/>
        </w:rPr>
        <w:t>contexte est haussier sur le moyen terme. Les plats de TS et de KS montrent l’absence de dynamique de déplacement et avantagent la consolidation du marché</w:t>
      </w:r>
      <w:r w:rsidR="007633DD">
        <w:rPr>
          <w:rFonts w:ascii="Tahoma" w:hAnsi="Tahoma" w:cs="Tahoma"/>
        </w:rPr>
        <w:t xml:space="preserve">. </w:t>
      </w:r>
      <w:r w:rsidR="00261DE8">
        <w:rPr>
          <w:rFonts w:ascii="Tahoma" w:hAnsi="Tahoma" w:cs="Tahoma"/>
        </w:rPr>
        <w:t>Sans déplacement marqué du taux, c</w:t>
      </w:r>
      <w:r w:rsidR="007633DD">
        <w:rPr>
          <w:rFonts w:ascii="Tahoma" w:hAnsi="Tahoma" w:cs="Tahoma"/>
        </w:rPr>
        <w:t xml:space="preserve">es plats se prolongeront plusieurs semaines sur 2.91/2.92. </w:t>
      </w:r>
    </w:p>
    <w:p w:rsidR="00C53106" w:rsidRPr="004D2E5B" w:rsidRDefault="007633DD" w:rsidP="00B0131A">
      <w:pPr>
        <w:jc w:val="both"/>
        <w:rPr>
          <w:rFonts w:ascii="Tahoma" w:hAnsi="Tahoma" w:cs="Tahoma"/>
        </w:rPr>
      </w:pPr>
      <w:r>
        <w:rPr>
          <w:rFonts w:ascii="Tahoma" w:hAnsi="Tahoma" w:cs="Tahoma"/>
        </w:rPr>
        <w:t xml:space="preserve">La position du 10 ans US par rapport au plat de TS et de KS favorisera </w:t>
      </w:r>
      <w:r w:rsidR="00395D33">
        <w:rPr>
          <w:rFonts w:ascii="Tahoma" w:hAnsi="Tahoma" w:cs="Tahoma"/>
        </w:rPr>
        <w:t xml:space="preserve">un mouvement en direction du </w:t>
      </w:r>
      <w:r>
        <w:rPr>
          <w:rFonts w:ascii="Tahoma" w:hAnsi="Tahoma" w:cs="Tahoma"/>
        </w:rPr>
        <w:t xml:space="preserve">haut ou </w:t>
      </w:r>
      <w:r w:rsidR="00395D33">
        <w:rPr>
          <w:rFonts w:ascii="Tahoma" w:hAnsi="Tahoma" w:cs="Tahoma"/>
        </w:rPr>
        <w:t>du</w:t>
      </w:r>
      <w:r>
        <w:rPr>
          <w:rFonts w:ascii="Tahoma" w:hAnsi="Tahoma" w:cs="Tahoma"/>
        </w:rPr>
        <w:t xml:space="preserve"> bas récent de 3.12 ou de 2.71. </w:t>
      </w:r>
    </w:p>
    <w:p w:rsidR="001259C9" w:rsidRPr="004D2E5B" w:rsidRDefault="001259C9" w:rsidP="001259C9">
      <w:pPr>
        <w:jc w:val="both"/>
        <w:rPr>
          <w:rFonts w:ascii="Tahoma" w:hAnsi="Tahoma" w:cs="Tahoma"/>
        </w:rPr>
      </w:pPr>
    </w:p>
    <w:p w:rsidR="00385E03" w:rsidRDefault="00CF7FF8" w:rsidP="00B0131A">
      <w:pPr>
        <w:jc w:val="both"/>
        <w:rPr>
          <w:rFonts w:ascii="Tahoma" w:hAnsi="Tahoma" w:cs="Tahoma"/>
        </w:rPr>
      </w:pPr>
      <w:r w:rsidRPr="00F950A8">
        <w:rPr>
          <w:rFonts w:ascii="Arial" w:hAnsi="Arial" w:cs="Arial"/>
          <w:b/>
          <w:bCs/>
        </w:rPr>
        <w:t xml:space="preserve">D : </w:t>
      </w:r>
      <w:r w:rsidR="004D2E5B">
        <w:rPr>
          <w:rFonts w:ascii="Tahoma" w:hAnsi="Tahoma" w:cs="Tahoma"/>
        </w:rPr>
        <w:t>L</w:t>
      </w:r>
      <w:r w:rsidR="00D66809">
        <w:rPr>
          <w:rFonts w:ascii="Tahoma" w:hAnsi="Tahoma" w:cs="Tahoma"/>
        </w:rPr>
        <w:t xml:space="preserve">’absence de tendance place le 10 ans US au sein d’une dérive latérale </w:t>
      </w:r>
      <w:r w:rsidR="0070192F">
        <w:rPr>
          <w:rFonts w:ascii="Tahoma" w:hAnsi="Tahoma" w:cs="Tahoma"/>
        </w:rPr>
        <w:t>comprise entre</w:t>
      </w:r>
      <w:r w:rsidR="00D66809">
        <w:rPr>
          <w:rFonts w:ascii="Tahoma" w:hAnsi="Tahoma" w:cs="Tahoma"/>
        </w:rPr>
        <w:t xml:space="preserve"> le haut et de bas récent.</w:t>
      </w:r>
    </w:p>
    <w:p w:rsidR="00D66809" w:rsidRDefault="00D66809" w:rsidP="00B0131A">
      <w:pPr>
        <w:jc w:val="both"/>
        <w:rPr>
          <w:rFonts w:ascii="Tahoma" w:hAnsi="Tahoma" w:cs="Tahoma"/>
        </w:rPr>
      </w:pPr>
      <w:r>
        <w:rPr>
          <w:rFonts w:ascii="Tahoma" w:hAnsi="Tahoma" w:cs="Tahoma"/>
        </w:rPr>
        <w:t xml:space="preserve">Le pivot de cette consolidation reprend une zone comprise entre 2.91 et 2.94. </w:t>
      </w:r>
    </w:p>
    <w:p w:rsidR="00D66809" w:rsidRPr="004D2E5B" w:rsidRDefault="00D66809" w:rsidP="00B0131A">
      <w:pPr>
        <w:jc w:val="both"/>
        <w:rPr>
          <w:rFonts w:ascii="Tahoma" w:hAnsi="Tahoma" w:cs="Tahoma"/>
        </w:rPr>
      </w:pPr>
      <w:r>
        <w:rPr>
          <w:rFonts w:ascii="Tahoma" w:hAnsi="Tahoma" w:cs="Tahoma"/>
        </w:rPr>
        <w:t xml:space="preserve">En fonction du franchissement de </w:t>
      </w:r>
      <w:r w:rsidR="00953F63">
        <w:rPr>
          <w:rFonts w:ascii="Tahoma" w:hAnsi="Tahoma" w:cs="Tahoma"/>
        </w:rPr>
        <w:t>cette</w:t>
      </w:r>
      <w:r>
        <w:rPr>
          <w:rFonts w:ascii="Tahoma" w:hAnsi="Tahoma" w:cs="Tahoma"/>
        </w:rPr>
        <w:t xml:space="preserve"> zone pivot, haut ou bas de la dérive latérale pourront être testés.</w:t>
      </w:r>
    </w:p>
    <w:bookmarkEnd w:id="1"/>
    <w:p w:rsidR="0093766C" w:rsidRPr="006E6472" w:rsidRDefault="00CF7FF8" w:rsidP="006E6472">
      <w:pPr>
        <w:jc w:val="both"/>
        <w:rPr>
          <w:rFonts w:ascii="Tahoma" w:hAnsi="Tahoma" w:cs="Tahoma"/>
          <w:bCs/>
        </w:rPr>
      </w:pPr>
      <w:r w:rsidRPr="00F950A8">
        <w:rPr>
          <w:rFonts w:ascii="Tahoma" w:hAnsi="Tahoma" w:cs="Tahoma"/>
          <w:bCs/>
        </w:rPr>
        <w:t xml:space="preserve">  </w:t>
      </w:r>
    </w:p>
    <w:p w:rsidR="00EE7F56" w:rsidRPr="00F71100" w:rsidRDefault="00F72829" w:rsidP="00C8169C">
      <w:pPr>
        <w:jc w:val="both"/>
        <w:rPr>
          <w:rFonts w:ascii="Arial" w:hAnsi="Arial" w:cs="Arial"/>
          <w:b/>
          <w:color w:val="00B050"/>
        </w:rPr>
      </w:pPr>
      <w:r w:rsidRPr="00F71100">
        <w:rPr>
          <w:rFonts w:ascii="Arial" w:hAnsi="Arial" w:cs="Arial"/>
          <w:b/>
          <w:color w:val="00B050"/>
          <w:u w:val="single"/>
        </w:rPr>
        <w:t>HEBDOMADAIRE</w:t>
      </w:r>
      <w:r w:rsidRPr="00F71100">
        <w:rPr>
          <w:rFonts w:ascii="Arial" w:hAnsi="Arial" w:cs="Arial"/>
          <w:b/>
          <w:color w:val="00B050"/>
        </w:rPr>
        <w:t xml:space="preserve"> : </w:t>
      </w:r>
      <w:r w:rsidR="00A0762B" w:rsidRPr="00F71100">
        <w:rPr>
          <w:rFonts w:ascii="Arial" w:hAnsi="Arial" w:cs="Arial"/>
          <w:b/>
          <w:color w:val="00B050"/>
        </w:rPr>
        <w:t>Le</w:t>
      </w:r>
      <w:r w:rsidR="00CF4284" w:rsidRPr="00F71100">
        <w:rPr>
          <w:rFonts w:ascii="Arial" w:hAnsi="Arial" w:cs="Arial"/>
          <w:b/>
          <w:color w:val="00B050"/>
        </w:rPr>
        <w:t xml:space="preserve"> contexte est haussier </w:t>
      </w:r>
      <w:r w:rsidR="004F7DB1" w:rsidRPr="00F71100">
        <w:rPr>
          <w:rFonts w:ascii="Arial" w:hAnsi="Arial" w:cs="Arial"/>
          <w:b/>
          <w:color w:val="00B050"/>
        </w:rPr>
        <w:t>au-dessus</w:t>
      </w:r>
      <w:r w:rsidR="00EE7F56" w:rsidRPr="00F71100">
        <w:rPr>
          <w:rFonts w:ascii="Arial" w:hAnsi="Arial" w:cs="Arial"/>
          <w:b/>
          <w:color w:val="00B050"/>
        </w:rPr>
        <w:t xml:space="preserve"> de 2.69. La TS qui a progressé sur 2.76 sera un support intermédiaire dont la cassure signalera la possibilité d’aller rechercher le support de 2.69.</w:t>
      </w:r>
    </w:p>
    <w:p w:rsidR="00A85203" w:rsidRDefault="00BD387D" w:rsidP="00C8169C">
      <w:pPr>
        <w:jc w:val="both"/>
        <w:rPr>
          <w:rFonts w:ascii="Arial" w:hAnsi="Arial" w:cs="Arial"/>
          <w:b/>
          <w:color w:val="00B050"/>
        </w:rPr>
      </w:pPr>
      <w:r w:rsidRPr="00F71100">
        <w:rPr>
          <w:rFonts w:ascii="Arial" w:hAnsi="Arial" w:cs="Arial"/>
          <w:b/>
          <w:color w:val="00B050"/>
        </w:rPr>
        <w:t>Sur les horizon</w:t>
      </w:r>
      <w:r w:rsidR="00F71100">
        <w:rPr>
          <w:rFonts w:ascii="Arial" w:hAnsi="Arial" w:cs="Arial"/>
          <w:b/>
          <w:color w:val="00B050"/>
        </w:rPr>
        <w:t>s</w:t>
      </w:r>
      <w:r w:rsidRPr="00F71100">
        <w:rPr>
          <w:rFonts w:ascii="Arial" w:hAnsi="Arial" w:cs="Arial"/>
          <w:b/>
          <w:color w:val="00B050"/>
        </w:rPr>
        <w:t xml:space="preserve"> de temps plus court, le marché est sans tendance. Une zone pivot est visible entre 2.91 et 2.94.</w:t>
      </w:r>
    </w:p>
    <w:p w:rsidR="00A85203" w:rsidRDefault="00A85203" w:rsidP="00C8169C">
      <w:pPr>
        <w:jc w:val="both"/>
        <w:rPr>
          <w:rFonts w:ascii="Arial" w:hAnsi="Arial" w:cs="Arial"/>
          <w:b/>
          <w:color w:val="00B050"/>
        </w:rPr>
      </w:pPr>
    </w:p>
    <w:p w:rsidR="00A85203" w:rsidRPr="00A85203" w:rsidRDefault="00A85203" w:rsidP="00C8169C">
      <w:pPr>
        <w:jc w:val="both"/>
        <w:rPr>
          <w:rFonts w:ascii="Arial" w:hAnsi="Arial" w:cs="Arial"/>
          <w:b/>
          <w:color w:val="00B050"/>
        </w:rPr>
      </w:pPr>
    </w:p>
    <w:p w:rsidR="00EB3109" w:rsidRPr="003505F9" w:rsidRDefault="00D43DAB" w:rsidP="00D43DAB">
      <w:pPr>
        <w:jc w:val="both"/>
        <w:rPr>
          <w:rFonts w:ascii="Arial" w:hAnsi="Arial" w:cs="Arial"/>
          <w:b/>
          <w:bCs/>
          <w:sz w:val="36"/>
          <w:szCs w:val="36"/>
          <w:u w:val="single"/>
        </w:rPr>
      </w:pPr>
      <w:r w:rsidRPr="00EE7F56">
        <w:rPr>
          <w:rFonts w:ascii="Arial" w:hAnsi="Arial" w:cs="Arial"/>
          <w:b/>
          <w:bCs/>
          <w:sz w:val="36"/>
          <w:szCs w:val="36"/>
        </w:rPr>
        <w:lastRenderedPageBreak/>
        <w:t xml:space="preserve">     </w:t>
      </w:r>
      <w:r w:rsidR="00292AF0" w:rsidRPr="00EE7F56">
        <w:rPr>
          <w:rFonts w:ascii="Arial" w:hAnsi="Arial" w:cs="Arial"/>
          <w:b/>
          <w:bCs/>
          <w:sz w:val="36"/>
          <w:szCs w:val="36"/>
        </w:rPr>
        <w:t xml:space="preserve">                       </w:t>
      </w:r>
      <w:r w:rsidRPr="00EE7F56">
        <w:rPr>
          <w:rFonts w:ascii="Arial" w:hAnsi="Arial" w:cs="Arial"/>
          <w:b/>
          <w:bCs/>
          <w:sz w:val="36"/>
          <w:szCs w:val="36"/>
        </w:rPr>
        <w:t xml:space="preserve"> </w:t>
      </w:r>
      <w:r w:rsidRPr="003505F9">
        <w:rPr>
          <w:rFonts w:ascii="Arial" w:hAnsi="Arial" w:cs="Arial"/>
          <w:b/>
          <w:bCs/>
          <w:sz w:val="36"/>
          <w:szCs w:val="36"/>
          <w:u w:val="single"/>
        </w:rPr>
        <w:t xml:space="preserve">10 ans UK </w:t>
      </w:r>
    </w:p>
    <w:p w:rsidR="006E6472" w:rsidRPr="003505F9" w:rsidRDefault="006E6472" w:rsidP="006E6472">
      <w:pPr>
        <w:jc w:val="both"/>
        <w:rPr>
          <w:rFonts w:ascii="Arial" w:hAnsi="Arial" w:cs="Arial"/>
          <w:b/>
          <w:sz w:val="28"/>
          <w:szCs w:val="28"/>
          <w:u w:val="single"/>
        </w:rPr>
      </w:pPr>
      <w:proofErr w:type="spellStart"/>
      <w:r w:rsidRPr="003505F9">
        <w:rPr>
          <w:rFonts w:ascii="Arial" w:hAnsi="Arial" w:cs="Arial"/>
          <w:b/>
          <w:sz w:val="28"/>
          <w:szCs w:val="28"/>
          <w:u w:val="single"/>
        </w:rPr>
        <w:t>Monthly</w:t>
      </w:r>
      <w:proofErr w:type="spellEnd"/>
    </w:p>
    <w:p w:rsidR="006E6472" w:rsidRPr="003505F9" w:rsidRDefault="003505F9" w:rsidP="00B65AF1">
      <w:pPr>
        <w:ind w:left="-283"/>
        <w:jc w:val="both"/>
        <w:rPr>
          <w:rFonts w:ascii="Arial" w:hAnsi="Arial" w:cs="Arial"/>
          <w:b/>
          <w:bCs/>
        </w:rPr>
      </w:pPr>
      <w:r w:rsidRPr="003505F9">
        <w:rPr>
          <w:rFonts w:ascii="Arial" w:hAnsi="Arial" w:cs="Arial"/>
          <w:b/>
          <w:bCs/>
          <w:noProof/>
        </w:rPr>
        <w:drawing>
          <wp:inline distT="0" distB="0" distL="0" distR="0">
            <wp:extent cx="6645275" cy="4114800"/>
            <wp:effectExtent l="0" t="0" r="3175" b="0"/>
            <wp:docPr id="8" name="Image 8" descr="C:\Users\jlattal\AppData\Local\Temp\Bloomberg\temp\bfmEA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EA27.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6405" cy="4115500"/>
                    </a:xfrm>
                    <a:prstGeom prst="rect">
                      <a:avLst/>
                    </a:prstGeom>
                    <a:noFill/>
                    <a:ln>
                      <a:noFill/>
                    </a:ln>
                  </pic:spPr>
                </pic:pic>
              </a:graphicData>
            </a:graphic>
          </wp:inline>
        </w:drawing>
      </w:r>
    </w:p>
    <w:p w:rsidR="00D43DAB" w:rsidRPr="003505F9" w:rsidRDefault="00D43DAB" w:rsidP="00D43DAB">
      <w:pPr>
        <w:jc w:val="both"/>
        <w:rPr>
          <w:rFonts w:ascii="Arial" w:hAnsi="Arial" w:cs="Arial"/>
          <w:b/>
          <w:bCs/>
          <w:sz w:val="28"/>
          <w:szCs w:val="28"/>
          <w:u w:val="single"/>
        </w:rPr>
      </w:pPr>
      <w:r w:rsidRPr="003505F9">
        <w:rPr>
          <w:rFonts w:ascii="Arial" w:hAnsi="Arial" w:cs="Arial"/>
          <w:b/>
          <w:bCs/>
          <w:sz w:val="28"/>
          <w:szCs w:val="28"/>
          <w:u w:val="single"/>
        </w:rPr>
        <w:t>Weekly</w:t>
      </w:r>
    </w:p>
    <w:p w:rsidR="00D43DAB" w:rsidRPr="003505F9" w:rsidRDefault="003505F9" w:rsidP="00B65AF1">
      <w:pPr>
        <w:tabs>
          <w:tab w:val="left" w:pos="4395"/>
        </w:tabs>
        <w:ind w:left="-283"/>
        <w:jc w:val="both"/>
        <w:rPr>
          <w:rFonts w:ascii="Arial" w:hAnsi="Arial" w:cs="Arial"/>
          <w:b/>
          <w:bCs/>
          <w:sz w:val="28"/>
          <w:szCs w:val="28"/>
          <w:u w:val="single"/>
        </w:rPr>
      </w:pPr>
      <w:r w:rsidRPr="003505F9">
        <w:rPr>
          <w:rFonts w:ascii="Arial" w:hAnsi="Arial" w:cs="Arial"/>
          <w:b/>
          <w:bCs/>
          <w:noProof/>
          <w:sz w:val="28"/>
          <w:szCs w:val="28"/>
          <w:u w:val="single"/>
        </w:rPr>
        <w:drawing>
          <wp:inline distT="0" distB="0" distL="0" distR="0">
            <wp:extent cx="6645275" cy="4514850"/>
            <wp:effectExtent l="0" t="0" r="3175" b="0"/>
            <wp:docPr id="9" name="Image 9" descr="C:\Users\jlattal\AppData\Local\Temp\Bloomberg\temp\bfm70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lattal\AppData\Local\Temp\Bloomberg\temp\bfm7011.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6412" cy="4515622"/>
                    </a:xfrm>
                    <a:prstGeom prst="rect">
                      <a:avLst/>
                    </a:prstGeom>
                    <a:noFill/>
                    <a:ln>
                      <a:noFill/>
                    </a:ln>
                  </pic:spPr>
                </pic:pic>
              </a:graphicData>
            </a:graphic>
          </wp:inline>
        </w:drawing>
      </w:r>
    </w:p>
    <w:p w:rsidR="003B2136" w:rsidRPr="003505F9" w:rsidRDefault="003B2136" w:rsidP="006E6472">
      <w:pPr>
        <w:jc w:val="both"/>
        <w:rPr>
          <w:rFonts w:ascii="Arial" w:hAnsi="Arial" w:cs="Arial"/>
          <w:b/>
          <w:bCs/>
          <w:sz w:val="28"/>
          <w:szCs w:val="28"/>
          <w:u w:val="single"/>
        </w:rPr>
      </w:pPr>
    </w:p>
    <w:p w:rsidR="00C23C25" w:rsidRPr="003505F9" w:rsidRDefault="00C23C25" w:rsidP="006E6472">
      <w:pPr>
        <w:jc w:val="both"/>
        <w:rPr>
          <w:rFonts w:ascii="Arial" w:hAnsi="Arial" w:cs="Arial"/>
          <w:b/>
          <w:bCs/>
          <w:sz w:val="28"/>
          <w:szCs w:val="28"/>
          <w:u w:val="single"/>
        </w:rPr>
      </w:pPr>
    </w:p>
    <w:p w:rsidR="00C23C25" w:rsidRPr="003505F9" w:rsidRDefault="00C23C25" w:rsidP="006E6472">
      <w:pPr>
        <w:jc w:val="both"/>
        <w:rPr>
          <w:rFonts w:ascii="Arial" w:hAnsi="Arial" w:cs="Arial"/>
          <w:b/>
          <w:bCs/>
          <w:sz w:val="28"/>
          <w:szCs w:val="28"/>
          <w:u w:val="single"/>
        </w:rPr>
      </w:pPr>
    </w:p>
    <w:p w:rsidR="00852F7E" w:rsidRDefault="005530C2" w:rsidP="00B0131A">
      <w:pPr>
        <w:jc w:val="both"/>
        <w:rPr>
          <w:rFonts w:ascii="Tahoma" w:hAnsi="Tahoma" w:cs="Tahoma"/>
          <w:bCs/>
        </w:rPr>
      </w:pPr>
      <w:r w:rsidRPr="00B52897">
        <w:rPr>
          <w:rFonts w:ascii="Arial" w:hAnsi="Arial" w:cs="Arial"/>
          <w:b/>
          <w:bCs/>
        </w:rPr>
        <w:t>M :</w:t>
      </w:r>
      <w:r w:rsidRPr="00B52897">
        <w:rPr>
          <w:rFonts w:ascii="Tahoma" w:hAnsi="Tahoma" w:cs="Tahoma"/>
          <w:bCs/>
        </w:rPr>
        <w:t xml:space="preserve"> </w:t>
      </w:r>
      <w:r w:rsidR="00196168" w:rsidRPr="00094EB3">
        <w:rPr>
          <w:rFonts w:ascii="Tahoma" w:hAnsi="Tahoma" w:cs="Tahoma"/>
          <w:bCs/>
        </w:rPr>
        <w:t>L</w:t>
      </w:r>
      <w:r w:rsidR="001900F2" w:rsidRPr="00094EB3">
        <w:rPr>
          <w:rFonts w:ascii="Tahoma" w:hAnsi="Tahoma" w:cs="Tahoma"/>
          <w:bCs/>
        </w:rPr>
        <w:t xml:space="preserve">e </w:t>
      </w:r>
      <w:r w:rsidR="00C23C25">
        <w:rPr>
          <w:rFonts w:ascii="Tahoma" w:hAnsi="Tahoma" w:cs="Tahoma"/>
          <w:bCs/>
        </w:rPr>
        <w:t xml:space="preserve">long terme n’est plus en tendance comme l’indiquent la TS et la KS. </w:t>
      </w:r>
      <w:r w:rsidR="0036426F">
        <w:rPr>
          <w:rFonts w:ascii="Tahoma" w:hAnsi="Tahoma" w:cs="Tahoma"/>
          <w:bCs/>
        </w:rPr>
        <w:t>Sous la borne basse du nuage de 1.45, c</w:t>
      </w:r>
      <w:r w:rsidR="00C23C25">
        <w:rPr>
          <w:rFonts w:ascii="Tahoma" w:hAnsi="Tahoma" w:cs="Tahoma"/>
          <w:bCs/>
        </w:rPr>
        <w:t xml:space="preserve">es courbes </w:t>
      </w:r>
      <w:r w:rsidR="0036426F">
        <w:rPr>
          <w:rFonts w:ascii="Tahoma" w:hAnsi="Tahoma" w:cs="Tahoma"/>
          <w:bCs/>
        </w:rPr>
        <w:t>seront utilisées comme support ou résistance</w:t>
      </w:r>
      <w:r w:rsidR="00BE15E9">
        <w:rPr>
          <w:rFonts w:ascii="Tahoma" w:hAnsi="Tahoma" w:cs="Tahoma"/>
          <w:bCs/>
        </w:rPr>
        <w:t xml:space="preserve"> (respectivement 1.40 et 1.10)</w:t>
      </w:r>
    </w:p>
    <w:p w:rsidR="00C23C25" w:rsidRDefault="00C23C25" w:rsidP="00B0131A">
      <w:pPr>
        <w:jc w:val="both"/>
        <w:rPr>
          <w:rFonts w:ascii="Tahoma" w:hAnsi="Tahoma" w:cs="Tahoma"/>
          <w:bCs/>
        </w:rPr>
      </w:pPr>
      <w:r>
        <w:rPr>
          <w:rFonts w:ascii="Tahoma" w:hAnsi="Tahoma" w:cs="Tahoma"/>
          <w:bCs/>
        </w:rPr>
        <w:t>Sans dynamique de mouvement la borne basse du nuage sera difficilement invalidée. Sa rupture orientera le taux en direction de la borne haute concrétisée par un plat sur 1.79.</w:t>
      </w:r>
    </w:p>
    <w:p w:rsidR="00C23C25" w:rsidRDefault="0036426F" w:rsidP="00B0131A">
      <w:pPr>
        <w:jc w:val="both"/>
        <w:rPr>
          <w:rFonts w:ascii="Tahoma" w:hAnsi="Tahoma" w:cs="Tahoma"/>
          <w:bCs/>
        </w:rPr>
      </w:pPr>
      <w:r>
        <w:rPr>
          <w:rFonts w:ascii="Tahoma" w:hAnsi="Tahoma" w:cs="Tahoma"/>
          <w:bCs/>
        </w:rPr>
        <w:t>Pour envisager cet objectif, l</w:t>
      </w:r>
      <w:r w:rsidR="00C23C25">
        <w:rPr>
          <w:rFonts w:ascii="Tahoma" w:hAnsi="Tahoma" w:cs="Tahoma"/>
          <w:bCs/>
        </w:rPr>
        <w:t xml:space="preserve">a TS </w:t>
      </w:r>
      <w:r>
        <w:rPr>
          <w:rFonts w:ascii="Tahoma" w:hAnsi="Tahoma" w:cs="Tahoma"/>
          <w:bCs/>
        </w:rPr>
        <w:t>devra servir</w:t>
      </w:r>
      <w:r w:rsidR="00C23C25">
        <w:rPr>
          <w:rFonts w:ascii="Tahoma" w:hAnsi="Tahoma" w:cs="Tahoma"/>
          <w:bCs/>
        </w:rPr>
        <w:t xml:space="preserve"> de support</w:t>
      </w:r>
      <w:r>
        <w:rPr>
          <w:rFonts w:ascii="Tahoma" w:hAnsi="Tahoma" w:cs="Tahoma"/>
          <w:bCs/>
        </w:rPr>
        <w:t>. Elle sera pour le mois de septembre</w:t>
      </w:r>
      <w:r w:rsidR="00C23C25">
        <w:rPr>
          <w:rFonts w:ascii="Tahoma" w:hAnsi="Tahoma" w:cs="Tahoma"/>
          <w:bCs/>
        </w:rPr>
        <w:t xml:space="preserve"> sur 1.40. </w:t>
      </w:r>
    </w:p>
    <w:p w:rsidR="00332645" w:rsidRPr="00B52897" w:rsidRDefault="00332645" w:rsidP="001B1B61">
      <w:pPr>
        <w:jc w:val="both"/>
        <w:rPr>
          <w:rFonts w:ascii="Tahoma" w:hAnsi="Tahoma" w:cs="Tahoma"/>
          <w:bCs/>
        </w:rPr>
      </w:pPr>
    </w:p>
    <w:p w:rsidR="00AF7F1E" w:rsidRDefault="00134724" w:rsidP="00FD5E11">
      <w:pPr>
        <w:jc w:val="both"/>
        <w:rPr>
          <w:rFonts w:ascii="Tahoma" w:hAnsi="Tahoma" w:cs="Tahoma"/>
          <w:bCs/>
        </w:rPr>
      </w:pPr>
      <w:r w:rsidRPr="00F950A8">
        <w:rPr>
          <w:rFonts w:ascii="Arial" w:hAnsi="Arial" w:cs="Arial"/>
          <w:b/>
          <w:bCs/>
        </w:rPr>
        <w:t xml:space="preserve">W : </w:t>
      </w:r>
      <w:r w:rsidR="004337C8" w:rsidRPr="004B449F">
        <w:rPr>
          <w:rFonts w:ascii="Tahoma" w:hAnsi="Tahoma" w:cs="Tahoma"/>
          <w:bCs/>
        </w:rPr>
        <w:t>L</w:t>
      </w:r>
      <w:r w:rsidR="00DC033F">
        <w:rPr>
          <w:rFonts w:ascii="Tahoma" w:hAnsi="Tahoma" w:cs="Tahoma"/>
          <w:bCs/>
        </w:rPr>
        <w:t>a forte hausse du 10 ans UK résulte d’un changement de Benchmark (déc</w:t>
      </w:r>
      <w:r w:rsidR="00B7142E">
        <w:rPr>
          <w:rFonts w:ascii="Tahoma" w:hAnsi="Tahoma" w:cs="Tahoma"/>
          <w:bCs/>
        </w:rPr>
        <w:t>embre</w:t>
      </w:r>
      <w:r w:rsidR="00DC033F">
        <w:rPr>
          <w:rFonts w:ascii="Tahoma" w:hAnsi="Tahoma" w:cs="Tahoma"/>
          <w:bCs/>
        </w:rPr>
        <w:t xml:space="preserve"> 2017 contre oct</w:t>
      </w:r>
      <w:r w:rsidR="00B7142E">
        <w:rPr>
          <w:rFonts w:ascii="Tahoma" w:hAnsi="Tahoma" w:cs="Tahoma"/>
          <w:bCs/>
        </w:rPr>
        <w:t>obre</w:t>
      </w:r>
      <w:r w:rsidR="00DC033F">
        <w:rPr>
          <w:rFonts w:ascii="Tahoma" w:hAnsi="Tahoma" w:cs="Tahoma"/>
          <w:bCs/>
        </w:rPr>
        <w:t xml:space="preserve"> 2018).</w:t>
      </w:r>
    </w:p>
    <w:p w:rsidR="00DC033F" w:rsidRDefault="00DC033F" w:rsidP="00FD5E11">
      <w:pPr>
        <w:jc w:val="both"/>
        <w:rPr>
          <w:rFonts w:ascii="Tahoma" w:hAnsi="Tahoma" w:cs="Tahoma"/>
          <w:bCs/>
        </w:rPr>
      </w:pPr>
      <w:r>
        <w:rPr>
          <w:rFonts w:ascii="Tahoma" w:hAnsi="Tahoma" w:cs="Tahoma"/>
          <w:bCs/>
        </w:rPr>
        <w:t xml:space="preserve">Le taux revient ainsi se positionner </w:t>
      </w:r>
      <w:r w:rsidR="0085141A">
        <w:rPr>
          <w:rFonts w:ascii="Tahoma" w:hAnsi="Tahoma" w:cs="Tahoma"/>
          <w:bCs/>
        </w:rPr>
        <w:t>au-dessus</w:t>
      </w:r>
      <w:r>
        <w:rPr>
          <w:rFonts w:ascii="Tahoma" w:hAnsi="Tahoma" w:cs="Tahoma"/>
          <w:bCs/>
        </w:rPr>
        <w:t xml:space="preserve"> de son nuage</w:t>
      </w:r>
      <w:r w:rsidR="00B7142E">
        <w:rPr>
          <w:rFonts w:ascii="Tahoma" w:hAnsi="Tahoma" w:cs="Tahoma"/>
          <w:bCs/>
        </w:rPr>
        <w:t>. La</w:t>
      </w:r>
      <w:r w:rsidR="00504921">
        <w:rPr>
          <w:rFonts w:ascii="Tahoma" w:hAnsi="Tahoma" w:cs="Tahoma"/>
          <w:bCs/>
        </w:rPr>
        <w:t xml:space="preserve"> LS retrouve le niveau de taux d’il y a 26 </w:t>
      </w:r>
      <w:r w:rsidR="00B7142E">
        <w:rPr>
          <w:rFonts w:ascii="Tahoma" w:hAnsi="Tahoma" w:cs="Tahoma"/>
          <w:bCs/>
        </w:rPr>
        <w:t>périodes</w:t>
      </w:r>
      <w:r w:rsidR="00504921">
        <w:rPr>
          <w:rFonts w:ascii="Tahoma" w:hAnsi="Tahoma" w:cs="Tahoma"/>
          <w:bCs/>
        </w:rPr>
        <w:t>.</w:t>
      </w:r>
    </w:p>
    <w:p w:rsidR="00504921" w:rsidRDefault="00504921" w:rsidP="00FD5E11">
      <w:pPr>
        <w:jc w:val="both"/>
        <w:rPr>
          <w:rFonts w:ascii="Tahoma" w:hAnsi="Tahoma" w:cs="Tahoma"/>
          <w:bCs/>
        </w:rPr>
      </w:pPr>
      <w:r>
        <w:rPr>
          <w:rFonts w:ascii="Tahoma" w:hAnsi="Tahoma" w:cs="Tahoma"/>
          <w:bCs/>
        </w:rPr>
        <w:t xml:space="preserve">Cette hausse replace le marché dans un environnement favorable à la consolidation. </w:t>
      </w:r>
      <w:r w:rsidR="00B7142E">
        <w:rPr>
          <w:rFonts w:ascii="Tahoma" w:hAnsi="Tahoma" w:cs="Tahoma"/>
          <w:bCs/>
        </w:rPr>
        <w:t>Dorénavant, l</w:t>
      </w:r>
      <w:r>
        <w:rPr>
          <w:rFonts w:ascii="Tahoma" w:hAnsi="Tahoma" w:cs="Tahoma"/>
          <w:bCs/>
        </w:rPr>
        <w:t>e plat de nuage servira de support sur 1.30</w:t>
      </w:r>
      <w:r w:rsidR="00B7142E">
        <w:rPr>
          <w:rFonts w:ascii="Tahoma" w:hAnsi="Tahoma" w:cs="Tahoma"/>
          <w:bCs/>
        </w:rPr>
        <w:t xml:space="preserve"> pour ce nouveau 10 ans</w:t>
      </w:r>
      <w:r>
        <w:rPr>
          <w:rFonts w:ascii="Tahoma" w:hAnsi="Tahoma" w:cs="Tahoma"/>
          <w:bCs/>
        </w:rPr>
        <w:t>.</w:t>
      </w:r>
    </w:p>
    <w:p w:rsidR="00592CE7" w:rsidRPr="00E6336C" w:rsidRDefault="00592CE7" w:rsidP="00134724">
      <w:pPr>
        <w:jc w:val="both"/>
        <w:rPr>
          <w:rFonts w:ascii="Tahoma" w:hAnsi="Tahoma" w:cs="Tahoma"/>
          <w:bCs/>
        </w:rPr>
      </w:pPr>
    </w:p>
    <w:p w:rsidR="009435E0" w:rsidRPr="00C955D5" w:rsidRDefault="009435E0" w:rsidP="005530C2">
      <w:pPr>
        <w:jc w:val="both"/>
        <w:rPr>
          <w:rFonts w:ascii="Arial" w:hAnsi="Arial" w:cs="Arial"/>
          <w:color w:val="FF0000"/>
        </w:rPr>
      </w:pPr>
      <w:bookmarkStart w:id="2" w:name="_GoBack"/>
      <w:bookmarkEnd w:id="2"/>
    </w:p>
    <w:p w:rsidR="004A2834" w:rsidRPr="00DB5A39" w:rsidRDefault="005530C2" w:rsidP="00BE257A">
      <w:pPr>
        <w:jc w:val="both"/>
        <w:rPr>
          <w:rFonts w:ascii="Arial" w:hAnsi="Arial" w:cs="Arial"/>
          <w:b/>
          <w:color w:val="00B050"/>
        </w:rPr>
      </w:pPr>
      <w:r w:rsidRPr="00DB5A39">
        <w:rPr>
          <w:rFonts w:ascii="Arial" w:hAnsi="Arial" w:cs="Arial"/>
          <w:b/>
          <w:color w:val="00B050"/>
          <w:u w:val="single"/>
        </w:rPr>
        <w:t>HEBDOMADAIRE</w:t>
      </w:r>
      <w:r w:rsidRPr="00DB5A39">
        <w:rPr>
          <w:rFonts w:ascii="Arial" w:hAnsi="Arial" w:cs="Arial"/>
          <w:b/>
          <w:color w:val="00B050"/>
        </w:rPr>
        <w:t xml:space="preserve"> : </w:t>
      </w:r>
      <w:r w:rsidR="002F127F" w:rsidRPr="00DB5A39">
        <w:rPr>
          <w:rFonts w:ascii="Arial" w:hAnsi="Arial" w:cs="Arial"/>
          <w:b/>
          <w:color w:val="00B050"/>
        </w:rPr>
        <w:t>Le nouveau 10 ans UK a positionné le taux entre une résistance de 1.45 et un support à 1.40.</w:t>
      </w:r>
    </w:p>
    <w:p w:rsidR="002F127F" w:rsidRPr="00DB5A39" w:rsidRDefault="002F127F" w:rsidP="00BE257A">
      <w:pPr>
        <w:jc w:val="both"/>
        <w:rPr>
          <w:rFonts w:ascii="Arial" w:hAnsi="Arial" w:cs="Arial"/>
          <w:b/>
          <w:color w:val="00B050"/>
        </w:rPr>
      </w:pPr>
      <w:r w:rsidRPr="00DB5A39">
        <w:rPr>
          <w:rFonts w:ascii="Arial" w:hAnsi="Arial" w:cs="Arial"/>
          <w:b/>
          <w:color w:val="00B050"/>
        </w:rPr>
        <w:t xml:space="preserve">La rupture devrait avoir lieu au cours de la semaine. En cassure de la résistance, le marché s’orientera en direction de son </w:t>
      </w:r>
      <w:r w:rsidR="0054194A" w:rsidRPr="00DB5A39">
        <w:rPr>
          <w:rFonts w:ascii="Arial" w:hAnsi="Arial" w:cs="Arial"/>
          <w:b/>
          <w:color w:val="00B050"/>
        </w:rPr>
        <w:t xml:space="preserve">objectif de long terme de 1.79. Les résistances </w:t>
      </w:r>
      <w:r w:rsidR="0085141A" w:rsidRPr="00DB5A39">
        <w:rPr>
          <w:rFonts w:ascii="Arial" w:hAnsi="Arial" w:cs="Arial"/>
          <w:b/>
          <w:color w:val="00B050"/>
        </w:rPr>
        <w:t>intermédiaires</w:t>
      </w:r>
      <w:r w:rsidR="0054194A" w:rsidRPr="00DB5A39">
        <w:rPr>
          <w:rFonts w:ascii="Arial" w:hAnsi="Arial" w:cs="Arial"/>
          <w:b/>
          <w:color w:val="00B050"/>
        </w:rPr>
        <w:t xml:space="preserve"> se situeront sur 1.55 et 1.69.</w:t>
      </w:r>
    </w:p>
    <w:p w:rsidR="0054194A" w:rsidRPr="00DB5A39" w:rsidRDefault="00C3351F" w:rsidP="00BE257A">
      <w:pPr>
        <w:jc w:val="both"/>
        <w:rPr>
          <w:rFonts w:ascii="Arial" w:hAnsi="Arial" w:cs="Arial"/>
          <w:b/>
          <w:color w:val="00B050"/>
        </w:rPr>
      </w:pPr>
      <w:r w:rsidRPr="00DB5A39">
        <w:rPr>
          <w:rFonts w:ascii="Arial" w:hAnsi="Arial" w:cs="Arial"/>
          <w:b/>
          <w:color w:val="00B050"/>
        </w:rPr>
        <w:t>En cassure de 1.30 retour sur 1.10.</w:t>
      </w:r>
    </w:p>
    <w:p w:rsidR="0028603F" w:rsidRDefault="0028603F" w:rsidP="00BE257A">
      <w:pPr>
        <w:jc w:val="both"/>
        <w:rPr>
          <w:rFonts w:ascii="Arial" w:hAnsi="Arial" w:cs="Arial"/>
          <w:b/>
          <w:color w:val="00B0F0"/>
        </w:rPr>
      </w:pPr>
    </w:p>
    <w:p w:rsidR="0085141A" w:rsidRDefault="0085141A" w:rsidP="00BE257A">
      <w:pPr>
        <w:jc w:val="both"/>
        <w:rPr>
          <w:rFonts w:ascii="Arial" w:hAnsi="Arial" w:cs="Arial"/>
          <w:b/>
          <w:color w:val="00B0F0"/>
        </w:rPr>
      </w:pPr>
    </w:p>
    <w:p w:rsidR="007E12BF" w:rsidRPr="00AD7F6F" w:rsidRDefault="00F72829" w:rsidP="00A6027B">
      <w:pPr>
        <w:jc w:val="both"/>
        <w:rPr>
          <w:rFonts w:ascii="Arial" w:eastAsia="Calibri" w:hAnsi="Arial" w:cs="Arial"/>
          <w:b/>
        </w:rPr>
      </w:pPr>
      <w:r w:rsidRPr="00A31477">
        <w:rPr>
          <w:rFonts w:ascii="Arial" w:hAnsi="Arial" w:cs="Arial"/>
          <w:b/>
          <w:bCs/>
          <w:color w:val="FF0000"/>
          <w:sz w:val="28"/>
          <w:szCs w:val="28"/>
        </w:rPr>
        <w:t xml:space="preserve">                         </w:t>
      </w:r>
      <w:r w:rsidR="006D7DCD" w:rsidRPr="00A31477">
        <w:rPr>
          <w:rFonts w:ascii="Arial" w:hAnsi="Arial" w:cs="Arial"/>
          <w:b/>
          <w:bCs/>
          <w:color w:val="FF0000"/>
          <w:sz w:val="28"/>
          <w:szCs w:val="28"/>
        </w:rPr>
        <w:t xml:space="preserve">         </w:t>
      </w:r>
      <w:bookmarkEnd w:id="0"/>
    </w:p>
    <w:p w:rsidR="00DC295E" w:rsidRPr="00AD7F6F" w:rsidRDefault="00DC295E" w:rsidP="00AD7F6F">
      <w:pPr>
        <w:jc w:val="both"/>
        <w:rPr>
          <w:rFonts w:ascii="Arial" w:eastAsia="Calibri" w:hAnsi="Arial" w:cs="Arial"/>
          <w:b/>
        </w:rPr>
      </w:pPr>
    </w:p>
    <w:sectPr w:rsidR="00DC295E" w:rsidRPr="00AD7F6F" w:rsidSect="00B65AF1">
      <w:footerReference w:type="default" r:id="rId16"/>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B96" w:rsidRDefault="00C07B96" w:rsidP="00632EAA">
      <w:r>
        <w:separator/>
      </w:r>
    </w:p>
  </w:endnote>
  <w:endnote w:type="continuationSeparator" w:id="0">
    <w:p w:rsidR="00C07B96" w:rsidRDefault="00C07B96"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0843106"/>
      <w:docPartObj>
        <w:docPartGallery w:val="Page Numbers (Bottom of Page)"/>
        <w:docPartUnique/>
      </w:docPartObj>
    </w:sdtPr>
    <w:sdtEndPr/>
    <w:sdtContent>
      <w:p w:rsidR="008844D3" w:rsidRDefault="008844D3">
        <w:pPr>
          <w:pStyle w:val="Pieddepage"/>
          <w:jc w:val="center"/>
        </w:pPr>
        <w:r>
          <w:fldChar w:fldCharType="begin"/>
        </w:r>
        <w:r>
          <w:instrText>PAGE   \* MERGEFORMAT</w:instrText>
        </w:r>
        <w:r>
          <w:fldChar w:fldCharType="separate"/>
        </w:r>
        <w:r w:rsidR="00D1360A">
          <w:rPr>
            <w:noProof/>
          </w:rPr>
          <w:t>6</w:t>
        </w:r>
        <w:r>
          <w:fldChar w:fldCharType="end"/>
        </w:r>
      </w:p>
    </w:sdtContent>
  </w:sdt>
  <w:p w:rsidR="00C07B96" w:rsidRDefault="007E12BF">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2" name="MSIPCMcf0b4b7f83408a132d43281b"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7E12BF" w:rsidRPr="007E12BF" w:rsidRDefault="007E12BF" w:rsidP="007E12BF">
                          <w:pPr>
                            <w:rPr>
                              <w:rFonts w:ascii="Calibri" w:hAnsi="Calibri" w:cs="Calibri"/>
                              <w:color w:val="737373"/>
                              <w:sz w:val="16"/>
                            </w:rPr>
                          </w:pPr>
                          <w:r w:rsidRPr="007E12BF">
                            <w:rPr>
                              <w:rFonts w:ascii="Calibri" w:hAnsi="Calibri" w:cs="Calibri"/>
                              <w:color w:val="737373"/>
                              <w:sz w:val="16"/>
                            </w:rPr>
                            <w:t xml:space="preserve">C2 - </w:t>
                          </w:r>
                          <w:proofErr w:type="spellStart"/>
                          <w:r w:rsidRPr="007E12BF">
                            <w:rPr>
                              <w:rFonts w:ascii="Calibri" w:hAnsi="Calibri" w:cs="Calibri"/>
                              <w:color w:val="737373"/>
                              <w:sz w:val="16"/>
                            </w:rPr>
                            <w:t>Internal</w:t>
                          </w:r>
                          <w:proofErr w:type="spellEnd"/>
                          <w:r w:rsidRPr="007E12BF">
                            <w:rPr>
                              <w:rFonts w:ascii="Calibri" w:hAnsi="Calibri" w:cs="Calibri"/>
                              <w:color w:val="737373"/>
                              <w:sz w:val="16"/>
                            </w:rPr>
                            <w:t xml:space="preserve">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cf0b4b7f83408a132d43281b" o:spid="_x0000_s1026" type="#_x0000_t202" alt="{&quot;HashCode&quot;:1100662692,&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LnyOIcdAwAANwYAAA4AAAAAAAAA&#10;AAAAAAAALgIAAGRycy9lMm9Eb2MueG1sUEsBAi0AFAAGAAgAAAAhAGARxibeAAAACwEAAA8AAAAA&#10;AAAAAAAAAAAAdwUAAGRycy9kb3ducmV2LnhtbFBLBQYAAAAABAAEAPMAAACCBgAAAAA=&#10;" o:allowincell="f" filled="f" stroked="f" strokeweight=".5pt">
              <v:textbox inset="20pt,0,,0">
                <w:txbxContent>
                  <w:p w:rsidR="007E12BF" w:rsidRPr="007E12BF" w:rsidRDefault="007E12BF" w:rsidP="007E12BF">
                    <w:pPr>
                      <w:rPr>
                        <w:rFonts w:ascii="Calibri" w:hAnsi="Calibri" w:cs="Calibri"/>
                        <w:color w:val="737373"/>
                        <w:sz w:val="16"/>
                      </w:rPr>
                    </w:pPr>
                    <w:r w:rsidRPr="007E12BF">
                      <w:rPr>
                        <w:rFonts w:ascii="Calibri" w:hAnsi="Calibri" w:cs="Calibri"/>
                        <w:color w:val="737373"/>
                        <w:sz w:val="16"/>
                      </w:rPr>
                      <w:t xml:space="preserve">C2 - </w:t>
                    </w:r>
                    <w:proofErr w:type="spellStart"/>
                    <w:r w:rsidRPr="007E12BF">
                      <w:rPr>
                        <w:rFonts w:ascii="Calibri" w:hAnsi="Calibri" w:cs="Calibri"/>
                        <w:color w:val="737373"/>
                        <w:sz w:val="16"/>
                      </w:rPr>
                      <w:t>Internal</w:t>
                    </w:r>
                    <w:proofErr w:type="spellEnd"/>
                    <w:r w:rsidRPr="007E12BF">
                      <w:rPr>
                        <w:rFonts w:ascii="Calibri" w:hAnsi="Calibri" w:cs="Calibri"/>
                        <w:color w:val="737373"/>
                        <w:sz w:val="16"/>
                      </w:rPr>
                      <w:t xml:space="preserve">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B96" w:rsidRDefault="00C07B96" w:rsidP="00632EAA">
      <w:r>
        <w:separator/>
      </w:r>
    </w:p>
  </w:footnote>
  <w:footnote w:type="continuationSeparator" w:id="0">
    <w:p w:rsidR="00C07B96" w:rsidRDefault="00C07B96"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043C9"/>
    <w:rsid w:val="00006573"/>
    <w:rsid w:val="00011200"/>
    <w:rsid w:val="00015DE9"/>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DD8"/>
    <w:rsid w:val="000641C0"/>
    <w:rsid w:val="00067109"/>
    <w:rsid w:val="000679AC"/>
    <w:rsid w:val="00077732"/>
    <w:rsid w:val="00082509"/>
    <w:rsid w:val="000874DF"/>
    <w:rsid w:val="00090B79"/>
    <w:rsid w:val="00093D02"/>
    <w:rsid w:val="00094EB3"/>
    <w:rsid w:val="0009578D"/>
    <w:rsid w:val="0009601D"/>
    <w:rsid w:val="000A3D69"/>
    <w:rsid w:val="000A4A04"/>
    <w:rsid w:val="000B156B"/>
    <w:rsid w:val="000B6ECC"/>
    <w:rsid w:val="000B7E03"/>
    <w:rsid w:val="000C0677"/>
    <w:rsid w:val="000C4889"/>
    <w:rsid w:val="000C5BCC"/>
    <w:rsid w:val="000C702C"/>
    <w:rsid w:val="000D031B"/>
    <w:rsid w:val="000D17A4"/>
    <w:rsid w:val="000D21A7"/>
    <w:rsid w:val="000D268A"/>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4E12"/>
    <w:rsid w:val="0010583E"/>
    <w:rsid w:val="00112363"/>
    <w:rsid w:val="001155DC"/>
    <w:rsid w:val="00116E2A"/>
    <w:rsid w:val="00124CE0"/>
    <w:rsid w:val="0012530F"/>
    <w:rsid w:val="001259C9"/>
    <w:rsid w:val="0012750D"/>
    <w:rsid w:val="00134724"/>
    <w:rsid w:val="00141BFC"/>
    <w:rsid w:val="00141F36"/>
    <w:rsid w:val="001420E9"/>
    <w:rsid w:val="00142231"/>
    <w:rsid w:val="00145281"/>
    <w:rsid w:val="00151611"/>
    <w:rsid w:val="00151A43"/>
    <w:rsid w:val="00152500"/>
    <w:rsid w:val="00152726"/>
    <w:rsid w:val="00153318"/>
    <w:rsid w:val="001562F5"/>
    <w:rsid w:val="0017044D"/>
    <w:rsid w:val="0017255A"/>
    <w:rsid w:val="00174112"/>
    <w:rsid w:val="00174D90"/>
    <w:rsid w:val="001758CA"/>
    <w:rsid w:val="00175D7D"/>
    <w:rsid w:val="001802ED"/>
    <w:rsid w:val="00181C36"/>
    <w:rsid w:val="0018460F"/>
    <w:rsid w:val="001900F2"/>
    <w:rsid w:val="001929A4"/>
    <w:rsid w:val="0019448F"/>
    <w:rsid w:val="0019471F"/>
    <w:rsid w:val="00194BF8"/>
    <w:rsid w:val="00196168"/>
    <w:rsid w:val="001A7163"/>
    <w:rsid w:val="001B1120"/>
    <w:rsid w:val="001B1B61"/>
    <w:rsid w:val="001B313E"/>
    <w:rsid w:val="001C0911"/>
    <w:rsid w:val="001C0A29"/>
    <w:rsid w:val="001C1C7A"/>
    <w:rsid w:val="001C6728"/>
    <w:rsid w:val="001C7F03"/>
    <w:rsid w:val="001D21C0"/>
    <w:rsid w:val="001D2CFB"/>
    <w:rsid w:val="001E4E26"/>
    <w:rsid w:val="001E7AFE"/>
    <w:rsid w:val="001E7C78"/>
    <w:rsid w:val="001F0E5F"/>
    <w:rsid w:val="001F4F7F"/>
    <w:rsid w:val="002000EA"/>
    <w:rsid w:val="00201C31"/>
    <w:rsid w:val="00203583"/>
    <w:rsid w:val="00206C2A"/>
    <w:rsid w:val="002078BB"/>
    <w:rsid w:val="00207BD5"/>
    <w:rsid w:val="002110BC"/>
    <w:rsid w:val="0021328A"/>
    <w:rsid w:val="00216FF9"/>
    <w:rsid w:val="00222827"/>
    <w:rsid w:val="00226C24"/>
    <w:rsid w:val="002308C6"/>
    <w:rsid w:val="00230B15"/>
    <w:rsid w:val="00233557"/>
    <w:rsid w:val="00235DEB"/>
    <w:rsid w:val="0023751E"/>
    <w:rsid w:val="002412DD"/>
    <w:rsid w:val="002505D9"/>
    <w:rsid w:val="002506D7"/>
    <w:rsid w:val="002525D8"/>
    <w:rsid w:val="0025315D"/>
    <w:rsid w:val="00253590"/>
    <w:rsid w:val="00254989"/>
    <w:rsid w:val="00256885"/>
    <w:rsid w:val="00260D05"/>
    <w:rsid w:val="002611C1"/>
    <w:rsid w:val="00261DE8"/>
    <w:rsid w:val="002637F2"/>
    <w:rsid w:val="00264CE5"/>
    <w:rsid w:val="00264ECA"/>
    <w:rsid w:val="00273EF1"/>
    <w:rsid w:val="00274AD5"/>
    <w:rsid w:val="00276D92"/>
    <w:rsid w:val="0027748F"/>
    <w:rsid w:val="00281F6C"/>
    <w:rsid w:val="0028603F"/>
    <w:rsid w:val="00292AF0"/>
    <w:rsid w:val="00294B9B"/>
    <w:rsid w:val="002A322F"/>
    <w:rsid w:val="002A3CA4"/>
    <w:rsid w:val="002A46CF"/>
    <w:rsid w:val="002A634E"/>
    <w:rsid w:val="002A63D2"/>
    <w:rsid w:val="002B0A38"/>
    <w:rsid w:val="002B268E"/>
    <w:rsid w:val="002B4084"/>
    <w:rsid w:val="002C101E"/>
    <w:rsid w:val="002C2834"/>
    <w:rsid w:val="002C2DC2"/>
    <w:rsid w:val="002C5FAC"/>
    <w:rsid w:val="002D3EC9"/>
    <w:rsid w:val="002D6096"/>
    <w:rsid w:val="002E337C"/>
    <w:rsid w:val="002E34FF"/>
    <w:rsid w:val="002E3C88"/>
    <w:rsid w:val="002E5E89"/>
    <w:rsid w:val="002E71C2"/>
    <w:rsid w:val="002E7D66"/>
    <w:rsid w:val="002F0C21"/>
    <w:rsid w:val="002F127F"/>
    <w:rsid w:val="002F3091"/>
    <w:rsid w:val="002F4402"/>
    <w:rsid w:val="002F6B57"/>
    <w:rsid w:val="00304D6E"/>
    <w:rsid w:val="0031071E"/>
    <w:rsid w:val="003144DD"/>
    <w:rsid w:val="00314C8B"/>
    <w:rsid w:val="003166BC"/>
    <w:rsid w:val="00317596"/>
    <w:rsid w:val="003228D3"/>
    <w:rsid w:val="00322FA9"/>
    <w:rsid w:val="003233B1"/>
    <w:rsid w:val="003261EE"/>
    <w:rsid w:val="00326A93"/>
    <w:rsid w:val="00326EA9"/>
    <w:rsid w:val="00330C78"/>
    <w:rsid w:val="00332645"/>
    <w:rsid w:val="00337BE0"/>
    <w:rsid w:val="003411EA"/>
    <w:rsid w:val="0034135F"/>
    <w:rsid w:val="0034170D"/>
    <w:rsid w:val="00343C28"/>
    <w:rsid w:val="00347D77"/>
    <w:rsid w:val="003505F9"/>
    <w:rsid w:val="00352A1E"/>
    <w:rsid w:val="00353AD0"/>
    <w:rsid w:val="00354C96"/>
    <w:rsid w:val="003556EB"/>
    <w:rsid w:val="00360110"/>
    <w:rsid w:val="00361D63"/>
    <w:rsid w:val="0036426F"/>
    <w:rsid w:val="00365809"/>
    <w:rsid w:val="00366961"/>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948B3"/>
    <w:rsid w:val="00394A95"/>
    <w:rsid w:val="003952D7"/>
    <w:rsid w:val="00395D33"/>
    <w:rsid w:val="00397BA3"/>
    <w:rsid w:val="003A1222"/>
    <w:rsid w:val="003B2136"/>
    <w:rsid w:val="003B2B32"/>
    <w:rsid w:val="003B2CFF"/>
    <w:rsid w:val="003B5E8C"/>
    <w:rsid w:val="003B63F5"/>
    <w:rsid w:val="003B75F0"/>
    <w:rsid w:val="003B7952"/>
    <w:rsid w:val="003C03CD"/>
    <w:rsid w:val="003C27DA"/>
    <w:rsid w:val="003D41A5"/>
    <w:rsid w:val="003E1B3F"/>
    <w:rsid w:val="003E5A71"/>
    <w:rsid w:val="003E749D"/>
    <w:rsid w:val="003F4023"/>
    <w:rsid w:val="003F6F10"/>
    <w:rsid w:val="00401AE1"/>
    <w:rsid w:val="00401C1D"/>
    <w:rsid w:val="00401CC8"/>
    <w:rsid w:val="00401F6A"/>
    <w:rsid w:val="00402633"/>
    <w:rsid w:val="004032E3"/>
    <w:rsid w:val="00403835"/>
    <w:rsid w:val="00404264"/>
    <w:rsid w:val="004069F1"/>
    <w:rsid w:val="00407002"/>
    <w:rsid w:val="004110E2"/>
    <w:rsid w:val="00412CB3"/>
    <w:rsid w:val="00415641"/>
    <w:rsid w:val="00416B48"/>
    <w:rsid w:val="00416F1A"/>
    <w:rsid w:val="004225A5"/>
    <w:rsid w:val="00422637"/>
    <w:rsid w:val="0043066E"/>
    <w:rsid w:val="0043099C"/>
    <w:rsid w:val="0043164A"/>
    <w:rsid w:val="00432229"/>
    <w:rsid w:val="00432974"/>
    <w:rsid w:val="004337C8"/>
    <w:rsid w:val="00440575"/>
    <w:rsid w:val="004411EA"/>
    <w:rsid w:val="00451C8C"/>
    <w:rsid w:val="00457643"/>
    <w:rsid w:val="00464BA2"/>
    <w:rsid w:val="004657DD"/>
    <w:rsid w:val="0046677B"/>
    <w:rsid w:val="00467E82"/>
    <w:rsid w:val="00470E75"/>
    <w:rsid w:val="00473686"/>
    <w:rsid w:val="00474400"/>
    <w:rsid w:val="00476700"/>
    <w:rsid w:val="004801A4"/>
    <w:rsid w:val="00480883"/>
    <w:rsid w:val="004857D5"/>
    <w:rsid w:val="004873C5"/>
    <w:rsid w:val="00490C20"/>
    <w:rsid w:val="00494714"/>
    <w:rsid w:val="004A2834"/>
    <w:rsid w:val="004A2C42"/>
    <w:rsid w:val="004A4C46"/>
    <w:rsid w:val="004A5B07"/>
    <w:rsid w:val="004A7BFF"/>
    <w:rsid w:val="004B145B"/>
    <w:rsid w:val="004B449F"/>
    <w:rsid w:val="004C0997"/>
    <w:rsid w:val="004C107D"/>
    <w:rsid w:val="004C1D94"/>
    <w:rsid w:val="004C57CF"/>
    <w:rsid w:val="004C7595"/>
    <w:rsid w:val="004D02B8"/>
    <w:rsid w:val="004D2E5B"/>
    <w:rsid w:val="004D3429"/>
    <w:rsid w:val="004D3A21"/>
    <w:rsid w:val="004E02D3"/>
    <w:rsid w:val="004E2FE7"/>
    <w:rsid w:val="004E4DA1"/>
    <w:rsid w:val="004F35A1"/>
    <w:rsid w:val="004F3E17"/>
    <w:rsid w:val="004F49FB"/>
    <w:rsid w:val="004F7DB1"/>
    <w:rsid w:val="004F7DDC"/>
    <w:rsid w:val="00500A6D"/>
    <w:rsid w:val="00501F69"/>
    <w:rsid w:val="00504921"/>
    <w:rsid w:val="0050573E"/>
    <w:rsid w:val="00514C7E"/>
    <w:rsid w:val="00515845"/>
    <w:rsid w:val="005224FA"/>
    <w:rsid w:val="0052288F"/>
    <w:rsid w:val="0054005C"/>
    <w:rsid w:val="0054194A"/>
    <w:rsid w:val="00542FB4"/>
    <w:rsid w:val="0054379C"/>
    <w:rsid w:val="00545E40"/>
    <w:rsid w:val="005530C2"/>
    <w:rsid w:val="005600F6"/>
    <w:rsid w:val="005622FD"/>
    <w:rsid w:val="00562C92"/>
    <w:rsid w:val="0056419E"/>
    <w:rsid w:val="00567C3E"/>
    <w:rsid w:val="00571826"/>
    <w:rsid w:val="00572E55"/>
    <w:rsid w:val="005770A5"/>
    <w:rsid w:val="00580C26"/>
    <w:rsid w:val="00583E6E"/>
    <w:rsid w:val="00585A3D"/>
    <w:rsid w:val="0059070C"/>
    <w:rsid w:val="00592CE7"/>
    <w:rsid w:val="0059618B"/>
    <w:rsid w:val="00597F48"/>
    <w:rsid w:val="005A4992"/>
    <w:rsid w:val="005A5601"/>
    <w:rsid w:val="005A7A3E"/>
    <w:rsid w:val="005B781D"/>
    <w:rsid w:val="005C3180"/>
    <w:rsid w:val="005C5E67"/>
    <w:rsid w:val="005C608B"/>
    <w:rsid w:val="005D451E"/>
    <w:rsid w:val="005D7228"/>
    <w:rsid w:val="005E3841"/>
    <w:rsid w:val="005E4948"/>
    <w:rsid w:val="005F7340"/>
    <w:rsid w:val="0060114F"/>
    <w:rsid w:val="0060274E"/>
    <w:rsid w:val="006048FD"/>
    <w:rsid w:val="00612BDB"/>
    <w:rsid w:val="00612E2D"/>
    <w:rsid w:val="00613E70"/>
    <w:rsid w:val="00617226"/>
    <w:rsid w:val="00620D34"/>
    <w:rsid w:val="00623878"/>
    <w:rsid w:val="0062397C"/>
    <w:rsid w:val="00626AF6"/>
    <w:rsid w:val="006319DA"/>
    <w:rsid w:val="00632EAA"/>
    <w:rsid w:val="0063445B"/>
    <w:rsid w:val="006374F9"/>
    <w:rsid w:val="006420ED"/>
    <w:rsid w:val="00643293"/>
    <w:rsid w:val="00645868"/>
    <w:rsid w:val="00650C73"/>
    <w:rsid w:val="00654221"/>
    <w:rsid w:val="0066004C"/>
    <w:rsid w:val="006641B7"/>
    <w:rsid w:val="00670CF7"/>
    <w:rsid w:val="00675360"/>
    <w:rsid w:val="00676870"/>
    <w:rsid w:val="00682009"/>
    <w:rsid w:val="006832C0"/>
    <w:rsid w:val="006871A5"/>
    <w:rsid w:val="00690736"/>
    <w:rsid w:val="0069101B"/>
    <w:rsid w:val="00691E63"/>
    <w:rsid w:val="00694328"/>
    <w:rsid w:val="00695C02"/>
    <w:rsid w:val="00696B7C"/>
    <w:rsid w:val="006A0DD9"/>
    <w:rsid w:val="006A1753"/>
    <w:rsid w:val="006A43AF"/>
    <w:rsid w:val="006A74DA"/>
    <w:rsid w:val="006B0A0C"/>
    <w:rsid w:val="006B35CA"/>
    <w:rsid w:val="006B4A73"/>
    <w:rsid w:val="006B5DB2"/>
    <w:rsid w:val="006C0FF6"/>
    <w:rsid w:val="006C10F5"/>
    <w:rsid w:val="006C59E0"/>
    <w:rsid w:val="006C634F"/>
    <w:rsid w:val="006D6C35"/>
    <w:rsid w:val="006D7DCD"/>
    <w:rsid w:val="006E0AD0"/>
    <w:rsid w:val="006E1A3A"/>
    <w:rsid w:val="006E6472"/>
    <w:rsid w:val="006F4736"/>
    <w:rsid w:val="006F48CB"/>
    <w:rsid w:val="006F6A52"/>
    <w:rsid w:val="006F7044"/>
    <w:rsid w:val="0070192F"/>
    <w:rsid w:val="00702A9F"/>
    <w:rsid w:val="00703DD8"/>
    <w:rsid w:val="007046BB"/>
    <w:rsid w:val="00704A64"/>
    <w:rsid w:val="00720A70"/>
    <w:rsid w:val="007236FA"/>
    <w:rsid w:val="00725CFC"/>
    <w:rsid w:val="00726F34"/>
    <w:rsid w:val="00727A2F"/>
    <w:rsid w:val="00732E1A"/>
    <w:rsid w:val="00733AD4"/>
    <w:rsid w:val="007357F8"/>
    <w:rsid w:val="0073620D"/>
    <w:rsid w:val="00736D43"/>
    <w:rsid w:val="007400C0"/>
    <w:rsid w:val="007447D8"/>
    <w:rsid w:val="00746A4F"/>
    <w:rsid w:val="007514B1"/>
    <w:rsid w:val="00754F13"/>
    <w:rsid w:val="0076073C"/>
    <w:rsid w:val="00762F69"/>
    <w:rsid w:val="007633DD"/>
    <w:rsid w:val="00763578"/>
    <w:rsid w:val="00764E65"/>
    <w:rsid w:val="007658F2"/>
    <w:rsid w:val="00770199"/>
    <w:rsid w:val="0077185D"/>
    <w:rsid w:val="00775E44"/>
    <w:rsid w:val="00776C3E"/>
    <w:rsid w:val="007774E7"/>
    <w:rsid w:val="007801B9"/>
    <w:rsid w:val="00781543"/>
    <w:rsid w:val="00782DF8"/>
    <w:rsid w:val="007A54EF"/>
    <w:rsid w:val="007A5656"/>
    <w:rsid w:val="007B31F5"/>
    <w:rsid w:val="007B6865"/>
    <w:rsid w:val="007C14A5"/>
    <w:rsid w:val="007C5980"/>
    <w:rsid w:val="007D3A98"/>
    <w:rsid w:val="007D4DA3"/>
    <w:rsid w:val="007D538A"/>
    <w:rsid w:val="007E0829"/>
    <w:rsid w:val="007E12BF"/>
    <w:rsid w:val="007E15A1"/>
    <w:rsid w:val="007E3F85"/>
    <w:rsid w:val="007E4A2B"/>
    <w:rsid w:val="007F11FB"/>
    <w:rsid w:val="007F215B"/>
    <w:rsid w:val="007F5372"/>
    <w:rsid w:val="00804BD3"/>
    <w:rsid w:val="00805F6D"/>
    <w:rsid w:val="00810D8C"/>
    <w:rsid w:val="00811CF5"/>
    <w:rsid w:val="0081223A"/>
    <w:rsid w:val="00813A25"/>
    <w:rsid w:val="0081521A"/>
    <w:rsid w:val="00817780"/>
    <w:rsid w:val="008213B0"/>
    <w:rsid w:val="00821443"/>
    <w:rsid w:val="008251B9"/>
    <w:rsid w:val="008269BA"/>
    <w:rsid w:val="00830431"/>
    <w:rsid w:val="00831471"/>
    <w:rsid w:val="00840B16"/>
    <w:rsid w:val="00841983"/>
    <w:rsid w:val="00841EF7"/>
    <w:rsid w:val="008431B4"/>
    <w:rsid w:val="00843BA0"/>
    <w:rsid w:val="008451F2"/>
    <w:rsid w:val="0085141A"/>
    <w:rsid w:val="00852F7E"/>
    <w:rsid w:val="0085485A"/>
    <w:rsid w:val="00854929"/>
    <w:rsid w:val="00855054"/>
    <w:rsid w:val="00860835"/>
    <w:rsid w:val="00862246"/>
    <w:rsid w:val="008631EB"/>
    <w:rsid w:val="00871790"/>
    <w:rsid w:val="00875D08"/>
    <w:rsid w:val="008761B9"/>
    <w:rsid w:val="008769DF"/>
    <w:rsid w:val="00883554"/>
    <w:rsid w:val="00883760"/>
    <w:rsid w:val="008844D3"/>
    <w:rsid w:val="00890078"/>
    <w:rsid w:val="00892275"/>
    <w:rsid w:val="00893DED"/>
    <w:rsid w:val="00894BE9"/>
    <w:rsid w:val="00894DA5"/>
    <w:rsid w:val="00897DD4"/>
    <w:rsid w:val="008A14C3"/>
    <w:rsid w:val="008A2B2F"/>
    <w:rsid w:val="008A3DE3"/>
    <w:rsid w:val="008A4E31"/>
    <w:rsid w:val="008A7F8B"/>
    <w:rsid w:val="008B7591"/>
    <w:rsid w:val="008C46FE"/>
    <w:rsid w:val="008C6E2B"/>
    <w:rsid w:val="008D0E1C"/>
    <w:rsid w:val="008D490D"/>
    <w:rsid w:val="008E220D"/>
    <w:rsid w:val="008F1539"/>
    <w:rsid w:val="008F40E5"/>
    <w:rsid w:val="00900B05"/>
    <w:rsid w:val="009029F1"/>
    <w:rsid w:val="0090423A"/>
    <w:rsid w:val="009049D6"/>
    <w:rsid w:val="009063A6"/>
    <w:rsid w:val="009079FA"/>
    <w:rsid w:val="00911680"/>
    <w:rsid w:val="00912E53"/>
    <w:rsid w:val="009141EC"/>
    <w:rsid w:val="00917964"/>
    <w:rsid w:val="00923DBC"/>
    <w:rsid w:val="0092725C"/>
    <w:rsid w:val="00930CE7"/>
    <w:rsid w:val="00932B93"/>
    <w:rsid w:val="009341A8"/>
    <w:rsid w:val="00934473"/>
    <w:rsid w:val="00935C01"/>
    <w:rsid w:val="009372C2"/>
    <w:rsid w:val="0093766C"/>
    <w:rsid w:val="00937E37"/>
    <w:rsid w:val="00942E0E"/>
    <w:rsid w:val="009435E0"/>
    <w:rsid w:val="00947D9D"/>
    <w:rsid w:val="00953F63"/>
    <w:rsid w:val="0095687C"/>
    <w:rsid w:val="00957245"/>
    <w:rsid w:val="0096003D"/>
    <w:rsid w:val="009601F4"/>
    <w:rsid w:val="00970A24"/>
    <w:rsid w:val="0097505A"/>
    <w:rsid w:val="009751B4"/>
    <w:rsid w:val="009779FA"/>
    <w:rsid w:val="009925DF"/>
    <w:rsid w:val="00992B49"/>
    <w:rsid w:val="00996367"/>
    <w:rsid w:val="009A1C33"/>
    <w:rsid w:val="009B0E08"/>
    <w:rsid w:val="009B2E21"/>
    <w:rsid w:val="009B4D2D"/>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0FAE"/>
    <w:rsid w:val="00A027F6"/>
    <w:rsid w:val="00A04A6C"/>
    <w:rsid w:val="00A0762B"/>
    <w:rsid w:val="00A15D2E"/>
    <w:rsid w:val="00A215DB"/>
    <w:rsid w:val="00A22906"/>
    <w:rsid w:val="00A2391D"/>
    <w:rsid w:val="00A25FDD"/>
    <w:rsid w:val="00A2655E"/>
    <w:rsid w:val="00A27403"/>
    <w:rsid w:val="00A27D70"/>
    <w:rsid w:val="00A308B4"/>
    <w:rsid w:val="00A30EF5"/>
    <w:rsid w:val="00A31477"/>
    <w:rsid w:val="00A3197D"/>
    <w:rsid w:val="00A34C8C"/>
    <w:rsid w:val="00A35622"/>
    <w:rsid w:val="00A36E33"/>
    <w:rsid w:val="00A3772E"/>
    <w:rsid w:val="00A40891"/>
    <w:rsid w:val="00A409F1"/>
    <w:rsid w:val="00A44ABB"/>
    <w:rsid w:val="00A472AD"/>
    <w:rsid w:val="00A53FF3"/>
    <w:rsid w:val="00A6027B"/>
    <w:rsid w:val="00A6071B"/>
    <w:rsid w:val="00A636A6"/>
    <w:rsid w:val="00A64B0D"/>
    <w:rsid w:val="00A665E7"/>
    <w:rsid w:val="00A73D56"/>
    <w:rsid w:val="00A741BF"/>
    <w:rsid w:val="00A77E98"/>
    <w:rsid w:val="00A800B4"/>
    <w:rsid w:val="00A801C3"/>
    <w:rsid w:val="00A82504"/>
    <w:rsid w:val="00A84247"/>
    <w:rsid w:val="00A85203"/>
    <w:rsid w:val="00A87371"/>
    <w:rsid w:val="00A87A14"/>
    <w:rsid w:val="00A901AB"/>
    <w:rsid w:val="00A902E0"/>
    <w:rsid w:val="00A9308D"/>
    <w:rsid w:val="00AA00F5"/>
    <w:rsid w:val="00AA28DD"/>
    <w:rsid w:val="00AA580A"/>
    <w:rsid w:val="00AA5C6E"/>
    <w:rsid w:val="00AA7942"/>
    <w:rsid w:val="00AB09C6"/>
    <w:rsid w:val="00AB20FB"/>
    <w:rsid w:val="00AB7793"/>
    <w:rsid w:val="00AB7D94"/>
    <w:rsid w:val="00AC18B9"/>
    <w:rsid w:val="00AC2628"/>
    <w:rsid w:val="00AC4E3C"/>
    <w:rsid w:val="00AC5952"/>
    <w:rsid w:val="00AC5E45"/>
    <w:rsid w:val="00AC7DC8"/>
    <w:rsid w:val="00AD3EC0"/>
    <w:rsid w:val="00AD7F6F"/>
    <w:rsid w:val="00AE3237"/>
    <w:rsid w:val="00AE3A93"/>
    <w:rsid w:val="00AE44FC"/>
    <w:rsid w:val="00AF02FB"/>
    <w:rsid w:val="00AF41BB"/>
    <w:rsid w:val="00AF42D3"/>
    <w:rsid w:val="00AF4A78"/>
    <w:rsid w:val="00AF5041"/>
    <w:rsid w:val="00AF6373"/>
    <w:rsid w:val="00AF7935"/>
    <w:rsid w:val="00AF7F1E"/>
    <w:rsid w:val="00B0012C"/>
    <w:rsid w:val="00B0131A"/>
    <w:rsid w:val="00B018B5"/>
    <w:rsid w:val="00B03AED"/>
    <w:rsid w:val="00B06C8C"/>
    <w:rsid w:val="00B10C67"/>
    <w:rsid w:val="00B16898"/>
    <w:rsid w:val="00B215B0"/>
    <w:rsid w:val="00B22088"/>
    <w:rsid w:val="00B23041"/>
    <w:rsid w:val="00B23A4D"/>
    <w:rsid w:val="00B23C18"/>
    <w:rsid w:val="00B30D14"/>
    <w:rsid w:val="00B35114"/>
    <w:rsid w:val="00B35DBD"/>
    <w:rsid w:val="00B4102E"/>
    <w:rsid w:val="00B41142"/>
    <w:rsid w:val="00B422AB"/>
    <w:rsid w:val="00B4277F"/>
    <w:rsid w:val="00B45EC1"/>
    <w:rsid w:val="00B5084B"/>
    <w:rsid w:val="00B52897"/>
    <w:rsid w:val="00B5410C"/>
    <w:rsid w:val="00B5482E"/>
    <w:rsid w:val="00B5721D"/>
    <w:rsid w:val="00B6489E"/>
    <w:rsid w:val="00B65AF1"/>
    <w:rsid w:val="00B65EBF"/>
    <w:rsid w:val="00B67C22"/>
    <w:rsid w:val="00B7142E"/>
    <w:rsid w:val="00B7197D"/>
    <w:rsid w:val="00B71F16"/>
    <w:rsid w:val="00B731A7"/>
    <w:rsid w:val="00B74B95"/>
    <w:rsid w:val="00B81C31"/>
    <w:rsid w:val="00B82610"/>
    <w:rsid w:val="00B83D1C"/>
    <w:rsid w:val="00B83DFB"/>
    <w:rsid w:val="00B87258"/>
    <w:rsid w:val="00BA1E3D"/>
    <w:rsid w:val="00BA1F23"/>
    <w:rsid w:val="00BA40A9"/>
    <w:rsid w:val="00BA5214"/>
    <w:rsid w:val="00BA61B1"/>
    <w:rsid w:val="00BA7B81"/>
    <w:rsid w:val="00BB3A2F"/>
    <w:rsid w:val="00BB42CC"/>
    <w:rsid w:val="00BB4764"/>
    <w:rsid w:val="00BB4D8C"/>
    <w:rsid w:val="00BB553F"/>
    <w:rsid w:val="00BC1161"/>
    <w:rsid w:val="00BC6555"/>
    <w:rsid w:val="00BC69CA"/>
    <w:rsid w:val="00BC73E5"/>
    <w:rsid w:val="00BD2F6E"/>
    <w:rsid w:val="00BD387D"/>
    <w:rsid w:val="00BD3A17"/>
    <w:rsid w:val="00BD512A"/>
    <w:rsid w:val="00BD620D"/>
    <w:rsid w:val="00BE15E9"/>
    <w:rsid w:val="00BE1712"/>
    <w:rsid w:val="00BE257A"/>
    <w:rsid w:val="00BE3DB5"/>
    <w:rsid w:val="00BE6BD9"/>
    <w:rsid w:val="00BE7C61"/>
    <w:rsid w:val="00BF28CE"/>
    <w:rsid w:val="00BF5C20"/>
    <w:rsid w:val="00C014A3"/>
    <w:rsid w:val="00C0184E"/>
    <w:rsid w:val="00C07B96"/>
    <w:rsid w:val="00C12A71"/>
    <w:rsid w:val="00C17FD4"/>
    <w:rsid w:val="00C2005B"/>
    <w:rsid w:val="00C21C25"/>
    <w:rsid w:val="00C23C25"/>
    <w:rsid w:val="00C23D35"/>
    <w:rsid w:val="00C240BD"/>
    <w:rsid w:val="00C26531"/>
    <w:rsid w:val="00C3351F"/>
    <w:rsid w:val="00C35146"/>
    <w:rsid w:val="00C43239"/>
    <w:rsid w:val="00C53106"/>
    <w:rsid w:val="00C5412E"/>
    <w:rsid w:val="00C5448E"/>
    <w:rsid w:val="00C54F8B"/>
    <w:rsid w:val="00C606D4"/>
    <w:rsid w:val="00C620BE"/>
    <w:rsid w:val="00C624EF"/>
    <w:rsid w:val="00C65DC9"/>
    <w:rsid w:val="00C70863"/>
    <w:rsid w:val="00C7405E"/>
    <w:rsid w:val="00C76EFA"/>
    <w:rsid w:val="00C80D99"/>
    <w:rsid w:val="00C8169C"/>
    <w:rsid w:val="00C8255E"/>
    <w:rsid w:val="00C82F97"/>
    <w:rsid w:val="00C85349"/>
    <w:rsid w:val="00C856C1"/>
    <w:rsid w:val="00C86F3C"/>
    <w:rsid w:val="00C87891"/>
    <w:rsid w:val="00C91DC4"/>
    <w:rsid w:val="00C92A3F"/>
    <w:rsid w:val="00C955D5"/>
    <w:rsid w:val="00C97C00"/>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778C"/>
    <w:rsid w:val="00CF3144"/>
    <w:rsid w:val="00CF4284"/>
    <w:rsid w:val="00CF5C74"/>
    <w:rsid w:val="00CF61F0"/>
    <w:rsid w:val="00CF7FF8"/>
    <w:rsid w:val="00D06ADB"/>
    <w:rsid w:val="00D07DCB"/>
    <w:rsid w:val="00D13526"/>
    <w:rsid w:val="00D1360A"/>
    <w:rsid w:val="00D15C83"/>
    <w:rsid w:val="00D17E01"/>
    <w:rsid w:val="00D24188"/>
    <w:rsid w:val="00D2583B"/>
    <w:rsid w:val="00D2679F"/>
    <w:rsid w:val="00D27672"/>
    <w:rsid w:val="00D30F7E"/>
    <w:rsid w:val="00D3102B"/>
    <w:rsid w:val="00D31DF7"/>
    <w:rsid w:val="00D32D69"/>
    <w:rsid w:val="00D37A42"/>
    <w:rsid w:val="00D40055"/>
    <w:rsid w:val="00D43DAB"/>
    <w:rsid w:val="00D4418E"/>
    <w:rsid w:val="00D452F3"/>
    <w:rsid w:val="00D458DE"/>
    <w:rsid w:val="00D52828"/>
    <w:rsid w:val="00D53491"/>
    <w:rsid w:val="00D53649"/>
    <w:rsid w:val="00D5530C"/>
    <w:rsid w:val="00D5598E"/>
    <w:rsid w:val="00D5702B"/>
    <w:rsid w:val="00D608AD"/>
    <w:rsid w:val="00D66809"/>
    <w:rsid w:val="00D67E50"/>
    <w:rsid w:val="00D709E7"/>
    <w:rsid w:val="00D724BF"/>
    <w:rsid w:val="00D756C6"/>
    <w:rsid w:val="00D77DF4"/>
    <w:rsid w:val="00D8157E"/>
    <w:rsid w:val="00D82307"/>
    <w:rsid w:val="00D86FC3"/>
    <w:rsid w:val="00D90986"/>
    <w:rsid w:val="00D913FF"/>
    <w:rsid w:val="00D91B67"/>
    <w:rsid w:val="00D94E4A"/>
    <w:rsid w:val="00D9653B"/>
    <w:rsid w:val="00D97169"/>
    <w:rsid w:val="00DA05A1"/>
    <w:rsid w:val="00DA07F1"/>
    <w:rsid w:val="00DA29A7"/>
    <w:rsid w:val="00DA403B"/>
    <w:rsid w:val="00DA61C8"/>
    <w:rsid w:val="00DA6C8B"/>
    <w:rsid w:val="00DB12A7"/>
    <w:rsid w:val="00DB248E"/>
    <w:rsid w:val="00DB438C"/>
    <w:rsid w:val="00DB5A39"/>
    <w:rsid w:val="00DC033F"/>
    <w:rsid w:val="00DC295E"/>
    <w:rsid w:val="00DC3AA6"/>
    <w:rsid w:val="00DC3BB3"/>
    <w:rsid w:val="00DC6E5A"/>
    <w:rsid w:val="00DD26C3"/>
    <w:rsid w:val="00DD404E"/>
    <w:rsid w:val="00DD5A19"/>
    <w:rsid w:val="00DE63AD"/>
    <w:rsid w:val="00DE7494"/>
    <w:rsid w:val="00DF4937"/>
    <w:rsid w:val="00E01395"/>
    <w:rsid w:val="00E0208C"/>
    <w:rsid w:val="00E044F2"/>
    <w:rsid w:val="00E07347"/>
    <w:rsid w:val="00E11B6D"/>
    <w:rsid w:val="00E16C54"/>
    <w:rsid w:val="00E2226C"/>
    <w:rsid w:val="00E22DFF"/>
    <w:rsid w:val="00E249A2"/>
    <w:rsid w:val="00E34CDA"/>
    <w:rsid w:val="00E357EC"/>
    <w:rsid w:val="00E376A8"/>
    <w:rsid w:val="00E37CD3"/>
    <w:rsid w:val="00E43B0C"/>
    <w:rsid w:val="00E44FD6"/>
    <w:rsid w:val="00E47D77"/>
    <w:rsid w:val="00E5023D"/>
    <w:rsid w:val="00E5074A"/>
    <w:rsid w:val="00E51CC2"/>
    <w:rsid w:val="00E52F35"/>
    <w:rsid w:val="00E53824"/>
    <w:rsid w:val="00E60B59"/>
    <w:rsid w:val="00E6336C"/>
    <w:rsid w:val="00E65B93"/>
    <w:rsid w:val="00E73BC8"/>
    <w:rsid w:val="00E743CB"/>
    <w:rsid w:val="00E74773"/>
    <w:rsid w:val="00E75757"/>
    <w:rsid w:val="00E803BA"/>
    <w:rsid w:val="00E810A2"/>
    <w:rsid w:val="00E84B13"/>
    <w:rsid w:val="00E866B7"/>
    <w:rsid w:val="00E972B0"/>
    <w:rsid w:val="00EB0F5A"/>
    <w:rsid w:val="00EB29D8"/>
    <w:rsid w:val="00EB3109"/>
    <w:rsid w:val="00EB61B6"/>
    <w:rsid w:val="00EC0AF5"/>
    <w:rsid w:val="00EC49FD"/>
    <w:rsid w:val="00EC4EBF"/>
    <w:rsid w:val="00EC6109"/>
    <w:rsid w:val="00ED0482"/>
    <w:rsid w:val="00ED185D"/>
    <w:rsid w:val="00EE13D1"/>
    <w:rsid w:val="00EE3F61"/>
    <w:rsid w:val="00EE71A6"/>
    <w:rsid w:val="00EE7F56"/>
    <w:rsid w:val="00EE7FC9"/>
    <w:rsid w:val="00F05CD8"/>
    <w:rsid w:val="00F136E1"/>
    <w:rsid w:val="00F139AF"/>
    <w:rsid w:val="00F16B6C"/>
    <w:rsid w:val="00F20AEE"/>
    <w:rsid w:val="00F20FBF"/>
    <w:rsid w:val="00F21A60"/>
    <w:rsid w:val="00F26242"/>
    <w:rsid w:val="00F26BC3"/>
    <w:rsid w:val="00F27321"/>
    <w:rsid w:val="00F400DC"/>
    <w:rsid w:val="00F40918"/>
    <w:rsid w:val="00F40F4B"/>
    <w:rsid w:val="00F4699E"/>
    <w:rsid w:val="00F52598"/>
    <w:rsid w:val="00F533C7"/>
    <w:rsid w:val="00F5391F"/>
    <w:rsid w:val="00F5748E"/>
    <w:rsid w:val="00F61A1D"/>
    <w:rsid w:val="00F62AA8"/>
    <w:rsid w:val="00F63322"/>
    <w:rsid w:val="00F71100"/>
    <w:rsid w:val="00F72829"/>
    <w:rsid w:val="00F74739"/>
    <w:rsid w:val="00F7511F"/>
    <w:rsid w:val="00F7571C"/>
    <w:rsid w:val="00F758DE"/>
    <w:rsid w:val="00F7692C"/>
    <w:rsid w:val="00F77222"/>
    <w:rsid w:val="00F8107B"/>
    <w:rsid w:val="00F82484"/>
    <w:rsid w:val="00F846A0"/>
    <w:rsid w:val="00F84A6A"/>
    <w:rsid w:val="00F930B8"/>
    <w:rsid w:val="00F944A1"/>
    <w:rsid w:val="00F950A8"/>
    <w:rsid w:val="00F9531A"/>
    <w:rsid w:val="00FA2131"/>
    <w:rsid w:val="00FA3742"/>
    <w:rsid w:val="00FA40A9"/>
    <w:rsid w:val="00FA5CAD"/>
    <w:rsid w:val="00FA6DF2"/>
    <w:rsid w:val="00FB2728"/>
    <w:rsid w:val="00FB5FC1"/>
    <w:rsid w:val="00FB69C9"/>
    <w:rsid w:val="00FC088B"/>
    <w:rsid w:val="00FC2714"/>
    <w:rsid w:val="00FD100B"/>
    <w:rsid w:val="00FD367A"/>
    <w:rsid w:val="00FD5E11"/>
    <w:rsid w:val="00FE1EB2"/>
    <w:rsid w:val="00FE30E6"/>
    <w:rsid w:val="00FE4A7A"/>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4EEEFE6F"/>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21389-5E6A-4B6A-9117-7EAD12C1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3010</TotalTime>
  <Pages>7</Pages>
  <Words>730</Words>
  <Characters>4021</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759</cp:revision>
  <cp:lastPrinted>2018-03-12T09:18:00Z</cp:lastPrinted>
  <dcterms:created xsi:type="dcterms:W3CDTF">2018-02-02T13:49:00Z</dcterms:created>
  <dcterms:modified xsi:type="dcterms:W3CDTF">2018-09-03T09:03:00Z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