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512B03">
        <w:rPr>
          <w:rFonts w:ascii="Calibri Light" w:hAnsi="Calibri Light" w:cs="Arial"/>
          <w:b/>
          <w:sz w:val="44"/>
          <w:szCs w:val="44"/>
        </w:rPr>
        <w:t>15</w:t>
      </w:r>
      <w:r w:rsidR="003F42D2">
        <w:rPr>
          <w:rFonts w:ascii="Calibri Light" w:hAnsi="Calibri Light" w:cs="Arial"/>
          <w:b/>
          <w:sz w:val="44"/>
          <w:szCs w:val="44"/>
        </w:rPr>
        <w:t xml:space="preserve"> octobre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59618B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59618B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59618B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9618B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13E70" w:rsidRDefault="00744233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744233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434840"/>
            <wp:effectExtent l="0" t="0" r="3175" b="3810"/>
            <wp:docPr id="1" name="Image 1" descr="C:\Users\jlattal\AppData\Local\Temp\Bloomberg\temp\bfm336B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lattal\AppData\Local\Temp\Bloomberg\temp\bfm336B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435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13E70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A85203" w:rsidRPr="00613E70" w:rsidRDefault="00744233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744233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275" cy="4191000"/>
            <wp:effectExtent l="0" t="0" r="3175" b="0"/>
            <wp:docPr id="2" name="Image 2" descr="C:\Users\jlattal\AppData\Local\Temp\Bloomberg\temp\bfm88A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lattal\AppData\Local\Temp\Bloomberg\temp\bfm88A3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30" cy="419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E0C" w:rsidRPr="00613E70" w:rsidRDefault="005E3841" w:rsidP="00B65AF1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613E70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923DBC" w:rsidRDefault="00744233" w:rsidP="00167C50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744233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099560"/>
            <wp:effectExtent l="0" t="0" r="3175" b="0"/>
            <wp:docPr id="3" name="Image 3" descr="C:\Users\jlattal\AppData\Local\Temp\Bloomberg\temp\bfmD5CB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lattal\AppData\Local\Temp\Bloomberg\temp\bfmD5CB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100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A46" w:rsidRPr="00613E70" w:rsidRDefault="00E97A46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53209A" w:rsidRDefault="00F72829" w:rsidP="003F42D2">
      <w:pPr>
        <w:jc w:val="both"/>
        <w:rPr>
          <w:rFonts w:ascii="Tahoma" w:hAnsi="Tahoma" w:cs="Tahoma"/>
          <w:bCs/>
        </w:rPr>
      </w:pPr>
      <w:r w:rsidRPr="00924357">
        <w:rPr>
          <w:rFonts w:ascii="Arial" w:hAnsi="Arial" w:cs="Arial"/>
          <w:b/>
        </w:rPr>
        <w:t>M</w:t>
      </w:r>
      <w:r w:rsidR="00DC3AA6" w:rsidRPr="00924357">
        <w:rPr>
          <w:rFonts w:ascii="Arial" w:hAnsi="Arial" w:cs="Arial"/>
          <w:b/>
        </w:rPr>
        <w:t xml:space="preserve"> : </w:t>
      </w:r>
      <w:r w:rsidR="00924357" w:rsidRPr="00924357">
        <w:rPr>
          <w:rFonts w:ascii="Tahoma" w:hAnsi="Tahoma" w:cs="Tahoma"/>
          <w:bCs/>
        </w:rPr>
        <w:t>Le</w:t>
      </w:r>
      <w:r w:rsidR="00924357">
        <w:rPr>
          <w:rFonts w:ascii="Tahoma" w:hAnsi="Tahoma" w:cs="Tahoma"/>
          <w:bCs/>
        </w:rPr>
        <w:t xml:space="preserve"> 10 ans Euro est revenu dans son nuage. </w:t>
      </w:r>
      <w:r w:rsidR="00FF2354">
        <w:rPr>
          <w:rFonts w:ascii="Tahoma" w:hAnsi="Tahoma" w:cs="Tahoma"/>
          <w:bCs/>
        </w:rPr>
        <w:t>Il représente</w:t>
      </w:r>
      <w:r w:rsidR="00924357">
        <w:rPr>
          <w:rFonts w:ascii="Tahoma" w:hAnsi="Tahoma" w:cs="Tahoma"/>
          <w:bCs/>
        </w:rPr>
        <w:t xml:space="preserve"> une zone d’équilibre comprise entre 0.35 et 0.94. </w:t>
      </w:r>
    </w:p>
    <w:p w:rsidR="0053209A" w:rsidRDefault="0053209A" w:rsidP="003F42D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Le plat de TS de 0.50 joue un </w:t>
      </w:r>
      <w:r w:rsidR="000B74F3">
        <w:rPr>
          <w:rFonts w:ascii="Tahoma" w:hAnsi="Tahoma" w:cs="Tahoma"/>
          <w:bCs/>
        </w:rPr>
        <w:t>rôle</w:t>
      </w:r>
      <w:r>
        <w:rPr>
          <w:rFonts w:ascii="Tahoma" w:hAnsi="Tahoma" w:cs="Tahoma"/>
          <w:bCs/>
        </w:rPr>
        <w:t xml:space="preserve"> de force de rappel. Son dépassement permet</w:t>
      </w:r>
      <w:r w:rsidR="00FF2354">
        <w:rPr>
          <w:rFonts w:ascii="Tahoma" w:hAnsi="Tahoma" w:cs="Tahoma"/>
          <w:bCs/>
        </w:rPr>
        <w:t>tra</w:t>
      </w:r>
      <w:r>
        <w:rPr>
          <w:rFonts w:ascii="Tahoma" w:hAnsi="Tahoma" w:cs="Tahoma"/>
          <w:bCs/>
        </w:rPr>
        <w:t xml:space="preserve"> d’envisager une reprise de la hausse alors que sa cassure milite</w:t>
      </w:r>
      <w:r w:rsidR="00FF2354">
        <w:rPr>
          <w:rFonts w:ascii="Tahoma" w:hAnsi="Tahoma" w:cs="Tahoma"/>
          <w:bCs/>
        </w:rPr>
        <w:t>ra</w:t>
      </w:r>
      <w:r>
        <w:rPr>
          <w:rFonts w:ascii="Tahoma" w:hAnsi="Tahoma" w:cs="Tahoma"/>
          <w:bCs/>
        </w:rPr>
        <w:t xml:space="preserve"> pour un retour sur la KS/SSB de 0.33/0.35.</w:t>
      </w:r>
    </w:p>
    <w:p w:rsidR="0053209A" w:rsidRDefault="00C3756A" w:rsidP="003F42D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La LS se trouve sous une résistance matérialisée par sa KS sur 0.56. </w:t>
      </w:r>
      <w:r w:rsidR="000B74F3">
        <w:rPr>
          <w:rFonts w:ascii="Tahoma" w:hAnsi="Tahoma" w:cs="Tahoma"/>
          <w:bCs/>
        </w:rPr>
        <w:t>Au-dessus</w:t>
      </w:r>
      <w:r w:rsidR="0056304D">
        <w:rPr>
          <w:rFonts w:ascii="Tahoma" w:hAnsi="Tahoma" w:cs="Tahoma"/>
          <w:bCs/>
        </w:rPr>
        <w:t xml:space="preserve"> de 0.50, le dépassement de la résistance de 0.56 permettra d’envisager une poursuite de la hausse en directi</w:t>
      </w:r>
      <w:r w:rsidR="00FF2354">
        <w:rPr>
          <w:rFonts w:ascii="Tahoma" w:hAnsi="Tahoma" w:cs="Tahoma"/>
          <w:bCs/>
        </w:rPr>
        <w:t>on de la bordure haute du nuage de 0.94.</w:t>
      </w:r>
    </w:p>
    <w:p w:rsidR="00D67E50" w:rsidRDefault="00D67E50" w:rsidP="00D67E50">
      <w:pPr>
        <w:jc w:val="both"/>
        <w:rPr>
          <w:rFonts w:ascii="Tahoma" w:hAnsi="Tahoma" w:cs="Tahoma"/>
        </w:rPr>
      </w:pPr>
    </w:p>
    <w:p w:rsidR="00512B03" w:rsidRDefault="003A1222" w:rsidP="00512B03">
      <w:pPr>
        <w:jc w:val="both"/>
        <w:rPr>
          <w:rFonts w:ascii="Tahoma" w:hAnsi="Tahoma" w:cs="Tahoma"/>
          <w:bCs/>
        </w:rPr>
      </w:pPr>
      <w:r w:rsidRPr="008631EB">
        <w:rPr>
          <w:rFonts w:ascii="Arial" w:hAnsi="Arial" w:cs="Arial"/>
          <w:b/>
          <w:bCs/>
        </w:rPr>
        <w:t xml:space="preserve">W : </w:t>
      </w:r>
      <w:r w:rsidR="000619D3" w:rsidRPr="000619D3">
        <w:rPr>
          <w:rFonts w:ascii="Tahoma" w:hAnsi="Tahoma" w:cs="Tahoma"/>
          <w:bCs/>
        </w:rPr>
        <w:t xml:space="preserve">La </w:t>
      </w:r>
      <w:r w:rsidR="000619D3">
        <w:rPr>
          <w:rFonts w:ascii="Tahoma" w:hAnsi="Tahoma" w:cs="Tahoma"/>
          <w:bCs/>
        </w:rPr>
        <w:t>bordure haute du nuage a servi de résistance. Au cours de la semaine elle sera sur 0.57.</w:t>
      </w:r>
    </w:p>
    <w:p w:rsidR="000619D3" w:rsidRDefault="000619D3" w:rsidP="00512B03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Cet objectif sera envisagé lorsque la LS s’établira </w:t>
      </w:r>
      <w:r w:rsidR="000B74F3">
        <w:rPr>
          <w:rFonts w:ascii="Tahoma" w:hAnsi="Tahoma" w:cs="Tahoma"/>
          <w:bCs/>
        </w:rPr>
        <w:t>au-dessus</w:t>
      </w:r>
      <w:r>
        <w:rPr>
          <w:rFonts w:ascii="Tahoma" w:hAnsi="Tahoma" w:cs="Tahoma"/>
          <w:bCs/>
        </w:rPr>
        <w:t xml:space="preserve"> de son plat de KS de 0.54.</w:t>
      </w:r>
      <w:r w:rsidR="00D720FC">
        <w:rPr>
          <w:rFonts w:ascii="Tahoma" w:hAnsi="Tahoma" w:cs="Tahoma"/>
          <w:bCs/>
        </w:rPr>
        <w:t xml:space="preserve"> Ce dépassement devra être poursuivi au-delà de 0.61 pour </w:t>
      </w:r>
      <w:r w:rsidR="002C3C75">
        <w:rPr>
          <w:rFonts w:ascii="Tahoma" w:hAnsi="Tahoma" w:cs="Tahoma"/>
          <w:bCs/>
        </w:rPr>
        <w:t>ne plus avoir d’obstacles à la hausse sur cette unité de temps.</w:t>
      </w:r>
    </w:p>
    <w:p w:rsidR="002C3C75" w:rsidRDefault="00BD76EB" w:rsidP="00512B03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Sous 0.58 se trouve une zone support comprise entre 0.51 et 0.49. En rupture le plat de KS de 0.42 servira de support.</w:t>
      </w:r>
    </w:p>
    <w:p w:rsidR="00153318" w:rsidRPr="000619D3" w:rsidRDefault="00153318" w:rsidP="00B0131A">
      <w:pPr>
        <w:jc w:val="both"/>
        <w:rPr>
          <w:rFonts w:ascii="Tahoma" w:hAnsi="Tahoma" w:cs="Tahoma"/>
          <w:bCs/>
        </w:rPr>
      </w:pPr>
    </w:p>
    <w:p w:rsidR="00512B03" w:rsidRDefault="00A82504" w:rsidP="00512B03">
      <w:pPr>
        <w:jc w:val="both"/>
        <w:rPr>
          <w:rFonts w:ascii="Tahoma" w:hAnsi="Tahoma" w:cs="Tahoma"/>
          <w:bCs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E54477" w:rsidRPr="00E54477">
        <w:rPr>
          <w:rFonts w:ascii="Tahoma" w:hAnsi="Tahoma" w:cs="Tahoma"/>
          <w:bCs/>
        </w:rPr>
        <w:t xml:space="preserve">Depuis le point haut de </w:t>
      </w:r>
      <w:r w:rsidR="00606B55">
        <w:rPr>
          <w:rFonts w:ascii="Tahoma" w:hAnsi="Tahoma" w:cs="Tahoma"/>
          <w:bCs/>
        </w:rPr>
        <w:t>0.58, le marché fait une pause</w:t>
      </w:r>
      <w:r w:rsidR="00FC4484">
        <w:rPr>
          <w:rFonts w:ascii="Tahoma" w:hAnsi="Tahoma" w:cs="Tahoma"/>
          <w:bCs/>
        </w:rPr>
        <w:t>. Cette situation</w:t>
      </w:r>
      <w:r w:rsidR="00606B55">
        <w:rPr>
          <w:rFonts w:ascii="Tahoma" w:hAnsi="Tahoma" w:cs="Tahoma"/>
          <w:bCs/>
        </w:rPr>
        <w:t xml:space="preserve"> </w:t>
      </w:r>
      <w:r w:rsidR="00FC4484">
        <w:rPr>
          <w:rFonts w:ascii="Tahoma" w:hAnsi="Tahoma" w:cs="Tahoma"/>
          <w:bCs/>
        </w:rPr>
        <w:t>résulte d’un manque de conviction de la part des investisseurs.</w:t>
      </w:r>
    </w:p>
    <w:p w:rsidR="00A00FAE" w:rsidRDefault="00F51B98" w:rsidP="00726EF5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Le contexte reste haussier </w:t>
      </w:r>
      <w:r w:rsidR="00FC4484">
        <w:rPr>
          <w:rFonts w:ascii="Tahoma" w:hAnsi="Tahoma" w:cs="Tahoma"/>
          <w:bCs/>
        </w:rPr>
        <w:t>sur cette unité de temps et une correction devra</w:t>
      </w:r>
      <w:r>
        <w:rPr>
          <w:rFonts w:ascii="Tahoma" w:hAnsi="Tahoma" w:cs="Tahoma"/>
          <w:bCs/>
        </w:rPr>
        <w:t xml:space="preserve"> se limiter à la KS qui sera une bonne partie de la semaine sur le niveau de 0.49.</w:t>
      </w:r>
    </w:p>
    <w:p w:rsidR="002465CA" w:rsidRDefault="002465CA" w:rsidP="00FD5E11">
      <w:pPr>
        <w:jc w:val="both"/>
        <w:rPr>
          <w:rFonts w:ascii="Tahoma" w:hAnsi="Tahoma" w:cs="Tahoma"/>
        </w:rPr>
      </w:pPr>
    </w:p>
    <w:p w:rsidR="00C54D0E" w:rsidRPr="00FA5CAD" w:rsidRDefault="00C54D0E" w:rsidP="00FD5E11">
      <w:pPr>
        <w:jc w:val="both"/>
        <w:rPr>
          <w:rFonts w:ascii="Tahoma" w:hAnsi="Tahoma" w:cs="Tahoma"/>
        </w:rPr>
      </w:pPr>
    </w:p>
    <w:p w:rsidR="002A2E2C" w:rsidRDefault="00F72829" w:rsidP="00F72829">
      <w:pPr>
        <w:jc w:val="both"/>
        <w:rPr>
          <w:rFonts w:ascii="Arial" w:hAnsi="Arial" w:cs="Arial"/>
          <w:b/>
          <w:color w:val="00B050"/>
        </w:rPr>
      </w:pPr>
      <w:r w:rsidRPr="00124944">
        <w:rPr>
          <w:rFonts w:ascii="Arial" w:hAnsi="Arial" w:cs="Arial"/>
          <w:b/>
          <w:color w:val="00B050"/>
          <w:u w:val="single"/>
        </w:rPr>
        <w:t>HEBDOMADAIRE</w:t>
      </w:r>
      <w:r w:rsidRPr="00124944">
        <w:rPr>
          <w:rFonts w:ascii="Arial" w:hAnsi="Arial" w:cs="Arial"/>
          <w:b/>
          <w:color w:val="00B050"/>
        </w:rPr>
        <w:t xml:space="preserve"> : </w:t>
      </w:r>
      <w:r w:rsidR="006A380A">
        <w:rPr>
          <w:rFonts w:ascii="Arial" w:hAnsi="Arial" w:cs="Arial"/>
          <w:b/>
          <w:color w:val="00B050"/>
        </w:rPr>
        <w:t xml:space="preserve">Un maintien du taux </w:t>
      </w:r>
      <w:r w:rsidR="000B74F3">
        <w:rPr>
          <w:rFonts w:ascii="Arial" w:hAnsi="Arial" w:cs="Arial"/>
          <w:b/>
          <w:color w:val="00B050"/>
        </w:rPr>
        <w:t>au-dessus</w:t>
      </w:r>
      <w:r w:rsidR="006A380A">
        <w:rPr>
          <w:rFonts w:ascii="Arial" w:hAnsi="Arial" w:cs="Arial"/>
          <w:b/>
          <w:color w:val="00B050"/>
        </w:rPr>
        <w:t xml:space="preserve"> de 0.56 sera </w:t>
      </w:r>
      <w:r w:rsidR="000B74F3">
        <w:rPr>
          <w:rFonts w:ascii="Arial" w:hAnsi="Arial" w:cs="Arial"/>
          <w:b/>
          <w:color w:val="00B050"/>
        </w:rPr>
        <w:t>nécessaire</w:t>
      </w:r>
      <w:r w:rsidR="006A380A">
        <w:rPr>
          <w:rFonts w:ascii="Arial" w:hAnsi="Arial" w:cs="Arial"/>
          <w:b/>
          <w:color w:val="00B050"/>
        </w:rPr>
        <w:t xml:space="preserve"> pour envisager une poursuite de la </w:t>
      </w:r>
      <w:r w:rsidR="000D52CE">
        <w:rPr>
          <w:rFonts w:ascii="Arial" w:hAnsi="Arial" w:cs="Arial"/>
          <w:b/>
          <w:color w:val="00B050"/>
        </w:rPr>
        <w:t>hausse.</w:t>
      </w:r>
      <w:r w:rsidR="00947AB8">
        <w:rPr>
          <w:rFonts w:ascii="Arial" w:hAnsi="Arial" w:cs="Arial"/>
          <w:b/>
          <w:color w:val="00B050"/>
        </w:rPr>
        <w:t xml:space="preserve"> Un dépassement de 0.61 confirmera cette reprise.</w:t>
      </w:r>
    </w:p>
    <w:p w:rsidR="00947AB8" w:rsidRDefault="00947AB8" w:rsidP="00F72829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Le support est constitué d’une zone comprise entre 0.51 et 0.49. En cassure retour sur 0.42.</w:t>
      </w:r>
    </w:p>
    <w:p w:rsidR="00947AB8" w:rsidRDefault="00947AB8" w:rsidP="00F72829">
      <w:pPr>
        <w:jc w:val="both"/>
        <w:rPr>
          <w:rFonts w:ascii="Arial" w:hAnsi="Arial" w:cs="Arial"/>
          <w:b/>
          <w:color w:val="00B050"/>
        </w:rPr>
      </w:pPr>
    </w:p>
    <w:p w:rsidR="00512B03" w:rsidRPr="002A2E2C" w:rsidRDefault="00512B03" w:rsidP="00F72829">
      <w:pPr>
        <w:jc w:val="both"/>
        <w:rPr>
          <w:rFonts w:ascii="Tahoma" w:hAnsi="Tahoma" w:cs="Tahoma"/>
          <w:color w:val="00B050"/>
        </w:rPr>
      </w:pPr>
    </w:p>
    <w:p w:rsidR="00F72829" w:rsidRPr="00487B1D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F72829" w:rsidRPr="00487B1D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487B1D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87B1D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487B1D" w:rsidRDefault="00744233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744233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320540"/>
            <wp:effectExtent l="0" t="0" r="3175" b="3810"/>
            <wp:docPr id="4" name="Image 4" descr="C:\Users\jlattal\AppData\Local\Temp\Bloomberg\temp\bfm52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lattal\AppData\Local\Temp\Bloomberg\temp\bfm5240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30" cy="432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6F0A91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6F0A91" w:rsidRDefault="00744233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744233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305300"/>
            <wp:effectExtent l="0" t="0" r="3175" b="0"/>
            <wp:docPr id="5" name="Image 5" descr="C:\Users\jlattal\AppData\Local\Temp\Bloomberg\temp\bfmA9A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lattal\AppData\Local\Temp\Bloomberg\temp\bfmA9A8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3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55E" w:rsidRPr="006F0A91" w:rsidRDefault="00A30EF5" w:rsidP="00571826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6F0A91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6F0A91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733AD4" w:rsidRPr="006F0A91" w:rsidRDefault="00744233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744233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74820"/>
            <wp:effectExtent l="0" t="0" r="3175" b="0"/>
            <wp:docPr id="6" name="Image 6" descr="C:\Users\jlattal\AppData\Local\Temp\Bloomberg\temp\bfm64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lattal\AppData\Local\Temp\Bloomberg\temp\bfm6402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27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6F0A91" w:rsidRDefault="00733AD4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27656D" w:rsidRDefault="00D2583B" w:rsidP="00132795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D07DCB">
        <w:rPr>
          <w:rFonts w:ascii="Arial" w:hAnsi="Arial" w:cs="Arial"/>
          <w:b/>
          <w:bCs/>
        </w:rPr>
        <w:t>M</w:t>
      </w:r>
      <w:r w:rsidRPr="00D07DCB">
        <w:rPr>
          <w:rFonts w:ascii="Tahoma" w:hAnsi="Tahoma" w:cs="Tahoma"/>
        </w:rPr>
        <w:t> </w:t>
      </w:r>
      <w:r w:rsidRPr="00CA151C">
        <w:rPr>
          <w:rFonts w:ascii="Tahoma" w:hAnsi="Tahoma" w:cs="Tahoma"/>
        </w:rPr>
        <w:t xml:space="preserve">: </w:t>
      </w:r>
      <w:r w:rsidR="00132795">
        <w:rPr>
          <w:rFonts w:ascii="Tahoma" w:hAnsi="Tahoma" w:cs="Tahoma"/>
        </w:rPr>
        <w:t xml:space="preserve">Un nouveau point haut à 3.25 a été validé au cours de la semaine. Depuis ce haut le </w:t>
      </w:r>
      <w:r w:rsidR="006B39A5">
        <w:rPr>
          <w:rFonts w:ascii="Tahoma" w:hAnsi="Tahoma" w:cs="Tahoma"/>
        </w:rPr>
        <w:t>taux</w:t>
      </w:r>
      <w:r w:rsidR="00132795">
        <w:rPr>
          <w:rFonts w:ascii="Tahoma" w:hAnsi="Tahoma" w:cs="Tahoma"/>
        </w:rPr>
        <w:t xml:space="preserve"> corrige </w:t>
      </w:r>
      <w:r w:rsidR="006B39A5">
        <w:rPr>
          <w:rFonts w:ascii="Tahoma" w:hAnsi="Tahoma" w:cs="Tahoma"/>
        </w:rPr>
        <w:t>et réduit</w:t>
      </w:r>
      <w:r w:rsidR="00132795">
        <w:rPr>
          <w:rFonts w:ascii="Tahoma" w:hAnsi="Tahoma" w:cs="Tahoma"/>
        </w:rPr>
        <w:t xml:space="preserve"> l’écart trop important </w:t>
      </w:r>
      <w:r w:rsidR="006B39A5">
        <w:rPr>
          <w:rFonts w:ascii="Tahoma" w:hAnsi="Tahoma" w:cs="Tahoma"/>
        </w:rPr>
        <w:t>avec sa</w:t>
      </w:r>
      <w:r w:rsidR="00132795">
        <w:rPr>
          <w:rFonts w:ascii="Tahoma" w:hAnsi="Tahoma" w:cs="Tahoma"/>
        </w:rPr>
        <w:t xml:space="preserve"> TS. Cette dernière </w:t>
      </w:r>
      <w:r w:rsidR="006B39A5">
        <w:rPr>
          <w:rFonts w:ascii="Tahoma" w:hAnsi="Tahoma" w:cs="Tahoma"/>
        </w:rPr>
        <w:t>servira</w:t>
      </w:r>
      <w:r w:rsidR="00132795">
        <w:rPr>
          <w:rFonts w:ascii="Tahoma" w:hAnsi="Tahoma" w:cs="Tahoma"/>
        </w:rPr>
        <w:t xml:space="preserve"> de support sur 2.95.</w:t>
      </w:r>
    </w:p>
    <w:p w:rsidR="00132795" w:rsidRPr="00CA151C" w:rsidRDefault="00132795" w:rsidP="00132795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 la cassure de la résistance de 3.12 place le marché dans un environnement favorable à une </w:t>
      </w:r>
      <w:r w:rsidR="005D40A6">
        <w:rPr>
          <w:rFonts w:ascii="Tahoma" w:hAnsi="Tahoma" w:cs="Tahoma"/>
        </w:rPr>
        <w:t>poursuite</w:t>
      </w:r>
      <w:r>
        <w:rPr>
          <w:rFonts w:ascii="Tahoma" w:hAnsi="Tahoma" w:cs="Tahoma"/>
        </w:rPr>
        <w:t xml:space="preserve"> de la hausse.</w:t>
      </w:r>
    </w:p>
    <w:p w:rsidR="00D8157E" w:rsidRDefault="00D8157E" w:rsidP="00D2583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27656D" w:rsidRDefault="00D2583B" w:rsidP="00512B03">
      <w:pPr>
        <w:jc w:val="both"/>
        <w:rPr>
          <w:rFonts w:ascii="Tahoma" w:hAnsi="Tahoma" w:cs="Tahoma"/>
        </w:rPr>
      </w:pPr>
      <w:bookmarkStart w:id="1" w:name="_Hlk510791573"/>
      <w:r w:rsidRPr="00F950A8">
        <w:rPr>
          <w:rFonts w:ascii="Arial" w:hAnsi="Arial" w:cs="Arial"/>
          <w:b/>
          <w:bCs/>
        </w:rPr>
        <w:t xml:space="preserve">W : </w:t>
      </w:r>
      <w:r w:rsidR="00840B6E">
        <w:rPr>
          <w:rFonts w:ascii="Tahoma" w:hAnsi="Tahoma" w:cs="Tahoma"/>
        </w:rPr>
        <w:t>L</w:t>
      </w:r>
      <w:r w:rsidR="00840B6E" w:rsidRPr="00840B6E">
        <w:rPr>
          <w:rFonts w:ascii="Tahoma" w:hAnsi="Tahoma" w:cs="Tahoma"/>
        </w:rPr>
        <w:t>e contexte est haussier</w:t>
      </w:r>
      <w:r w:rsidR="00840B6E">
        <w:rPr>
          <w:rFonts w:ascii="Tahoma" w:hAnsi="Tahoma" w:cs="Tahoma"/>
        </w:rPr>
        <w:t>. Sous le point haut de 3.25, le 10 ans US trouvera en support la TS et la KS qui se sont stabilisé</w:t>
      </w:r>
      <w:r w:rsidR="008F60CD">
        <w:rPr>
          <w:rFonts w:ascii="Tahoma" w:hAnsi="Tahoma" w:cs="Tahoma"/>
        </w:rPr>
        <w:t>es</w:t>
      </w:r>
      <w:r w:rsidR="00840B6E">
        <w:rPr>
          <w:rFonts w:ascii="Tahoma" w:hAnsi="Tahoma" w:cs="Tahoma"/>
        </w:rPr>
        <w:t xml:space="preserve"> respectivement sur </w:t>
      </w:r>
      <w:r w:rsidR="00652F6E">
        <w:rPr>
          <w:rFonts w:ascii="Tahoma" w:hAnsi="Tahoma" w:cs="Tahoma"/>
        </w:rPr>
        <w:t>3.03 et</w:t>
      </w:r>
      <w:r w:rsidR="00840B6E">
        <w:rPr>
          <w:rFonts w:ascii="Tahoma" w:hAnsi="Tahoma" w:cs="Tahoma"/>
        </w:rPr>
        <w:t xml:space="preserve"> 3.00.</w:t>
      </w:r>
      <w:r w:rsidR="00840B6E" w:rsidRPr="00840B6E">
        <w:rPr>
          <w:rFonts w:ascii="Tahoma" w:hAnsi="Tahoma" w:cs="Tahoma"/>
        </w:rPr>
        <w:t xml:space="preserve"> </w:t>
      </w:r>
    </w:p>
    <w:p w:rsidR="00984DC8" w:rsidRPr="004D2E5B" w:rsidRDefault="0027656D" w:rsidP="001259C9">
      <w:pPr>
        <w:jc w:val="both"/>
        <w:rPr>
          <w:rFonts w:ascii="Tahoma" w:hAnsi="Tahoma" w:cs="Tahoma"/>
        </w:rPr>
      </w:pPr>
      <w:r w:rsidRPr="0027656D">
        <w:rPr>
          <w:rFonts w:ascii="Tahoma" w:hAnsi="Tahoma" w:cs="Tahoma"/>
        </w:rPr>
        <w:t xml:space="preserve"> </w:t>
      </w:r>
    </w:p>
    <w:p w:rsidR="005D5441" w:rsidRDefault="003D663C" w:rsidP="00984DC8">
      <w:pPr>
        <w:jc w:val="both"/>
        <w:rPr>
          <w:rFonts w:ascii="Tahoma" w:hAnsi="Tahoma" w:cs="Tahoma"/>
        </w:rPr>
      </w:pPr>
      <w:r>
        <w:rPr>
          <w:rFonts w:ascii="Arial" w:hAnsi="Arial" w:cs="Arial"/>
          <w:b/>
          <w:bCs/>
        </w:rPr>
        <w:t xml:space="preserve">D : </w:t>
      </w:r>
      <w:r w:rsidR="0079207B" w:rsidRPr="0079207B">
        <w:rPr>
          <w:rFonts w:ascii="Tahoma" w:hAnsi="Tahoma" w:cs="Tahoma"/>
        </w:rPr>
        <w:t>Dans une logique</w:t>
      </w:r>
      <w:r w:rsidR="0079207B">
        <w:rPr>
          <w:rFonts w:ascii="Tahoma" w:hAnsi="Tahoma" w:cs="Tahoma"/>
        </w:rPr>
        <w:t xml:space="preserve"> d’inversion des polarités, la correction qui s’effectue actuellement doit trouver en support l’ancienne résistance de 3.12. Dans un environnement haussier taux, le retour du marché sur 3.12 inciter</w:t>
      </w:r>
      <w:r w:rsidR="00707789">
        <w:rPr>
          <w:rFonts w:ascii="Tahoma" w:hAnsi="Tahoma" w:cs="Tahoma"/>
        </w:rPr>
        <w:t>a</w:t>
      </w:r>
      <w:r w:rsidR="0079207B">
        <w:rPr>
          <w:rFonts w:ascii="Tahoma" w:hAnsi="Tahoma" w:cs="Tahoma"/>
        </w:rPr>
        <w:t xml:space="preserve"> les investisseurs qui n’ont pas cru à la hausse</w:t>
      </w:r>
      <w:r w:rsidR="00707789">
        <w:rPr>
          <w:rFonts w:ascii="Tahoma" w:hAnsi="Tahoma" w:cs="Tahoma"/>
        </w:rPr>
        <w:t xml:space="preserve"> et à la cassure de 3.12</w:t>
      </w:r>
      <w:r w:rsidR="0079207B">
        <w:rPr>
          <w:rFonts w:ascii="Tahoma" w:hAnsi="Tahoma" w:cs="Tahoma"/>
        </w:rPr>
        <w:t>, à prendre position, les baissiers taux à couper</w:t>
      </w:r>
      <w:r w:rsidR="005E3A9D">
        <w:rPr>
          <w:rFonts w:ascii="Tahoma" w:hAnsi="Tahoma" w:cs="Tahoma"/>
        </w:rPr>
        <w:t xml:space="preserve"> les</w:t>
      </w:r>
      <w:r w:rsidR="0079207B">
        <w:rPr>
          <w:rFonts w:ascii="Tahoma" w:hAnsi="Tahoma" w:cs="Tahoma"/>
        </w:rPr>
        <w:t xml:space="preserve"> leurs à moindre co</w:t>
      </w:r>
      <w:r w:rsidR="00707789">
        <w:rPr>
          <w:rFonts w:ascii="Tahoma" w:hAnsi="Tahoma" w:cs="Tahoma"/>
        </w:rPr>
        <w:t>û</w:t>
      </w:r>
      <w:r w:rsidR="0079207B">
        <w:rPr>
          <w:rFonts w:ascii="Tahoma" w:hAnsi="Tahoma" w:cs="Tahoma"/>
        </w:rPr>
        <w:t>t et les haussiers</w:t>
      </w:r>
      <w:r w:rsidR="00707789">
        <w:rPr>
          <w:rFonts w:ascii="Tahoma" w:hAnsi="Tahoma" w:cs="Tahoma"/>
        </w:rPr>
        <w:t xml:space="preserve"> taux</w:t>
      </w:r>
      <w:r w:rsidR="0079207B">
        <w:rPr>
          <w:rFonts w:ascii="Tahoma" w:hAnsi="Tahoma" w:cs="Tahoma"/>
        </w:rPr>
        <w:t xml:space="preserve"> à renforcer </w:t>
      </w:r>
      <w:r w:rsidR="00707789">
        <w:rPr>
          <w:rFonts w:ascii="Tahoma" w:hAnsi="Tahoma" w:cs="Tahoma"/>
        </w:rPr>
        <w:t xml:space="preserve">leurs </w:t>
      </w:r>
      <w:r w:rsidR="00850487">
        <w:rPr>
          <w:rFonts w:ascii="Tahoma" w:hAnsi="Tahoma" w:cs="Tahoma"/>
        </w:rPr>
        <w:t>ventes de 10 an</w:t>
      </w:r>
      <w:r w:rsidR="00707789">
        <w:rPr>
          <w:rFonts w:ascii="Tahoma" w:hAnsi="Tahoma" w:cs="Tahoma"/>
        </w:rPr>
        <w:t>s. Toutes ces actions s’inscriro</w:t>
      </w:r>
      <w:r w:rsidR="00850487">
        <w:rPr>
          <w:rFonts w:ascii="Tahoma" w:hAnsi="Tahoma" w:cs="Tahoma"/>
        </w:rPr>
        <w:t xml:space="preserve">nt dans un contexte où la hausse </w:t>
      </w:r>
      <w:r w:rsidR="00707789">
        <w:rPr>
          <w:rFonts w:ascii="Tahoma" w:hAnsi="Tahoma" w:cs="Tahoma"/>
        </w:rPr>
        <w:t>sera</w:t>
      </w:r>
      <w:r w:rsidR="00850487">
        <w:rPr>
          <w:rFonts w:ascii="Tahoma" w:hAnsi="Tahoma" w:cs="Tahoma"/>
        </w:rPr>
        <w:t xml:space="preserve"> la seule alternative. Un retour du marché sous 3.12 remettra à plus tard la hausse du marché</w:t>
      </w:r>
      <w:r w:rsidR="00707789">
        <w:rPr>
          <w:rFonts w:ascii="Tahoma" w:hAnsi="Tahoma" w:cs="Tahoma"/>
        </w:rPr>
        <w:t xml:space="preserve"> et le 10 ans </w:t>
      </w:r>
      <w:r w:rsidR="00850487">
        <w:rPr>
          <w:rFonts w:ascii="Tahoma" w:hAnsi="Tahoma" w:cs="Tahoma"/>
        </w:rPr>
        <w:t xml:space="preserve">pourra </w:t>
      </w:r>
      <w:r w:rsidR="00707789">
        <w:rPr>
          <w:rFonts w:ascii="Tahoma" w:hAnsi="Tahoma" w:cs="Tahoma"/>
        </w:rPr>
        <w:t xml:space="preserve">alors </w:t>
      </w:r>
      <w:r w:rsidR="00850487">
        <w:rPr>
          <w:rFonts w:ascii="Tahoma" w:hAnsi="Tahoma" w:cs="Tahoma"/>
        </w:rPr>
        <w:t>s’orienter sur les objectifs de moyen et de long terme.</w:t>
      </w:r>
    </w:p>
    <w:bookmarkEnd w:id="1"/>
    <w:p w:rsidR="00AB3B97" w:rsidRDefault="00AB3B97" w:rsidP="006E6472">
      <w:pPr>
        <w:jc w:val="both"/>
        <w:rPr>
          <w:rFonts w:ascii="Tahoma" w:hAnsi="Tahoma" w:cs="Tahoma"/>
        </w:rPr>
      </w:pPr>
    </w:p>
    <w:p w:rsidR="00E54DDA" w:rsidRPr="00AB3B97" w:rsidRDefault="00CF7FF8" w:rsidP="006E6472">
      <w:pPr>
        <w:jc w:val="both"/>
        <w:rPr>
          <w:rFonts w:ascii="Tahoma" w:hAnsi="Tahoma" w:cs="Tahoma"/>
        </w:rPr>
      </w:pPr>
      <w:r w:rsidRPr="007B142D">
        <w:rPr>
          <w:rFonts w:ascii="Tahoma" w:hAnsi="Tahoma" w:cs="Tahoma"/>
        </w:rPr>
        <w:t xml:space="preserve">  </w:t>
      </w:r>
    </w:p>
    <w:p w:rsidR="00C62D7C" w:rsidRDefault="00F72829" w:rsidP="00C8169C">
      <w:pPr>
        <w:jc w:val="both"/>
        <w:rPr>
          <w:rFonts w:ascii="Arial" w:hAnsi="Arial" w:cs="Arial"/>
          <w:b/>
          <w:color w:val="00B050"/>
        </w:rPr>
      </w:pPr>
      <w:r w:rsidRPr="0078049F">
        <w:rPr>
          <w:rFonts w:ascii="Arial" w:hAnsi="Arial" w:cs="Arial"/>
          <w:b/>
          <w:color w:val="00B050"/>
          <w:u w:val="single"/>
        </w:rPr>
        <w:t>HEBDOMADAIRE</w:t>
      </w:r>
      <w:r w:rsidRPr="0078049F">
        <w:rPr>
          <w:rFonts w:ascii="Arial" w:hAnsi="Arial" w:cs="Arial"/>
          <w:b/>
          <w:color w:val="00B050"/>
        </w:rPr>
        <w:t xml:space="preserve"> : </w:t>
      </w:r>
      <w:r w:rsidR="00FA1532">
        <w:rPr>
          <w:rFonts w:ascii="Arial" w:hAnsi="Arial" w:cs="Arial"/>
          <w:b/>
          <w:color w:val="00B050"/>
        </w:rPr>
        <w:t xml:space="preserve">Dans une logique d’inversion des polarités le support de 3.12 ne doit pas </w:t>
      </w:r>
      <w:r w:rsidR="00652F6E">
        <w:rPr>
          <w:rFonts w:ascii="Arial" w:hAnsi="Arial" w:cs="Arial"/>
          <w:b/>
          <w:color w:val="00B050"/>
        </w:rPr>
        <w:t>céder</w:t>
      </w:r>
      <w:r w:rsidR="00FA1532">
        <w:rPr>
          <w:rFonts w:ascii="Arial" w:hAnsi="Arial" w:cs="Arial"/>
          <w:b/>
          <w:color w:val="00B050"/>
        </w:rPr>
        <w:t>. Une rupture reportera la hausse du 10 ans US. Un retour sur les supports de moyen et de long terme sera envisagé, à savoir 3.03-3.00 et 2.95.</w:t>
      </w:r>
    </w:p>
    <w:p w:rsidR="002A2E2C" w:rsidRDefault="002A2E2C" w:rsidP="00C8169C">
      <w:pPr>
        <w:jc w:val="both"/>
        <w:rPr>
          <w:rFonts w:ascii="Arial" w:hAnsi="Arial" w:cs="Arial"/>
          <w:b/>
          <w:color w:val="00B050"/>
        </w:rPr>
      </w:pPr>
    </w:p>
    <w:p w:rsidR="007F0B89" w:rsidRDefault="007F0B89" w:rsidP="00C8169C">
      <w:pPr>
        <w:jc w:val="both"/>
        <w:rPr>
          <w:rFonts w:ascii="Arial" w:hAnsi="Arial" w:cs="Arial"/>
          <w:b/>
          <w:color w:val="00B050"/>
        </w:rPr>
      </w:pPr>
    </w:p>
    <w:p w:rsidR="001C2D3A" w:rsidRDefault="001C2D3A" w:rsidP="00C8169C">
      <w:pPr>
        <w:jc w:val="both"/>
        <w:rPr>
          <w:rFonts w:ascii="Arial" w:hAnsi="Arial" w:cs="Arial"/>
          <w:b/>
          <w:color w:val="00B050"/>
        </w:rPr>
      </w:pPr>
    </w:p>
    <w:p w:rsidR="006B39A5" w:rsidRDefault="006B39A5" w:rsidP="00C8169C">
      <w:pPr>
        <w:jc w:val="both"/>
        <w:rPr>
          <w:rFonts w:ascii="Arial" w:hAnsi="Arial" w:cs="Arial"/>
          <w:b/>
          <w:color w:val="00B050"/>
        </w:rPr>
      </w:pPr>
    </w:p>
    <w:p w:rsidR="006B39A5" w:rsidRPr="00A85203" w:rsidRDefault="006B39A5" w:rsidP="00C8169C">
      <w:pPr>
        <w:jc w:val="both"/>
        <w:rPr>
          <w:rFonts w:ascii="Arial" w:hAnsi="Arial" w:cs="Arial"/>
          <w:b/>
          <w:color w:val="00B050"/>
        </w:rPr>
      </w:pPr>
      <w:bookmarkStart w:id="2" w:name="_GoBack"/>
      <w:bookmarkEnd w:id="2"/>
    </w:p>
    <w:bookmarkEnd w:id="0"/>
    <w:sectPr w:rsidR="006B39A5" w:rsidRPr="00A85203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01A">
          <w:rPr>
            <w:noProof/>
          </w:rPr>
          <w:t>13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1200"/>
    <w:rsid w:val="00015DE9"/>
    <w:rsid w:val="00023004"/>
    <w:rsid w:val="00024342"/>
    <w:rsid w:val="00031AE3"/>
    <w:rsid w:val="00031D2A"/>
    <w:rsid w:val="000341AC"/>
    <w:rsid w:val="000403B1"/>
    <w:rsid w:val="00040784"/>
    <w:rsid w:val="00040AE9"/>
    <w:rsid w:val="000412FF"/>
    <w:rsid w:val="00041F25"/>
    <w:rsid w:val="00050AE9"/>
    <w:rsid w:val="0005450A"/>
    <w:rsid w:val="0006069D"/>
    <w:rsid w:val="0006091F"/>
    <w:rsid w:val="0006167C"/>
    <w:rsid w:val="000619D3"/>
    <w:rsid w:val="00063DD8"/>
    <w:rsid w:val="000641C0"/>
    <w:rsid w:val="00067109"/>
    <w:rsid w:val="000679AC"/>
    <w:rsid w:val="00077732"/>
    <w:rsid w:val="00081051"/>
    <w:rsid w:val="000821DE"/>
    <w:rsid w:val="00082509"/>
    <w:rsid w:val="000874DF"/>
    <w:rsid w:val="00090B79"/>
    <w:rsid w:val="00093D02"/>
    <w:rsid w:val="00094EB3"/>
    <w:rsid w:val="0009578D"/>
    <w:rsid w:val="0009601D"/>
    <w:rsid w:val="000A3D69"/>
    <w:rsid w:val="000A4A04"/>
    <w:rsid w:val="000B156B"/>
    <w:rsid w:val="000B6ECC"/>
    <w:rsid w:val="000B74F3"/>
    <w:rsid w:val="000B7E03"/>
    <w:rsid w:val="000C0677"/>
    <w:rsid w:val="000C4889"/>
    <w:rsid w:val="000C5BCC"/>
    <w:rsid w:val="000C702C"/>
    <w:rsid w:val="000D031B"/>
    <w:rsid w:val="000D0565"/>
    <w:rsid w:val="000D17A4"/>
    <w:rsid w:val="000D21A7"/>
    <w:rsid w:val="000D268A"/>
    <w:rsid w:val="000D36B4"/>
    <w:rsid w:val="000D4E0C"/>
    <w:rsid w:val="000D52CE"/>
    <w:rsid w:val="000D6642"/>
    <w:rsid w:val="000D6D9D"/>
    <w:rsid w:val="000D72F9"/>
    <w:rsid w:val="000D7ED2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29BE"/>
    <w:rsid w:val="00104E12"/>
    <w:rsid w:val="0010583E"/>
    <w:rsid w:val="00112363"/>
    <w:rsid w:val="00114CFE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318"/>
    <w:rsid w:val="001562F5"/>
    <w:rsid w:val="0016468C"/>
    <w:rsid w:val="00167C50"/>
    <w:rsid w:val="00167E3C"/>
    <w:rsid w:val="0017044D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460F"/>
    <w:rsid w:val="001900F2"/>
    <w:rsid w:val="001929A4"/>
    <w:rsid w:val="0019448F"/>
    <w:rsid w:val="0019471F"/>
    <w:rsid w:val="001949F6"/>
    <w:rsid w:val="00194BF8"/>
    <w:rsid w:val="001954B6"/>
    <w:rsid w:val="00196168"/>
    <w:rsid w:val="001A6D35"/>
    <w:rsid w:val="001A7163"/>
    <w:rsid w:val="001B1120"/>
    <w:rsid w:val="001B1B61"/>
    <w:rsid w:val="001B313E"/>
    <w:rsid w:val="001C0911"/>
    <w:rsid w:val="001C0A29"/>
    <w:rsid w:val="001C1C7A"/>
    <w:rsid w:val="001C2D3A"/>
    <w:rsid w:val="001C6728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E5F"/>
    <w:rsid w:val="001F4F7F"/>
    <w:rsid w:val="002000EA"/>
    <w:rsid w:val="00201C31"/>
    <w:rsid w:val="00203583"/>
    <w:rsid w:val="00206C2A"/>
    <w:rsid w:val="002078BB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EF1"/>
    <w:rsid w:val="00274AD5"/>
    <w:rsid w:val="00275122"/>
    <w:rsid w:val="002764EC"/>
    <w:rsid w:val="0027656D"/>
    <w:rsid w:val="00276D92"/>
    <w:rsid w:val="0027748F"/>
    <w:rsid w:val="00281F6C"/>
    <w:rsid w:val="0028603F"/>
    <w:rsid w:val="00292AF0"/>
    <w:rsid w:val="00294B9B"/>
    <w:rsid w:val="002A2E2C"/>
    <w:rsid w:val="002A322F"/>
    <w:rsid w:val="002A3CA4"/>
    <w:rsid w:val="002A46CF"/>
    <w:rsid w:val="002A634E"/>
    <w:rsid w:val="002A63D2"/>
    <w:rsid w:val="002B0A38"/>
    <w:rsid w:val="002B268E"/>
    <w:rsid w:val="002B4084"/>
    <w:rsid w:val="002C101E"/>
    <w:rsid w:val="002C2834"/>
    <w:rsid w:val="002C2DC2"/>
    <w:rsid w:val="002C3C75"/>
    <w:rsid w:val="002C5FAC"/>
    <w:rsid w:val="002D3EC9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3091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6F7E"/>
    <w:rsid w:val="00347D77"/>
    <w:rsid w:val="003505F9"/>
    <w:rsid w:val="00352A1E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8013D"/>
    <w:rsid w:val="0038119F"/>
    <w:rsid w:val="00381240"/>
    <w:rsid w:val="00382502"/>
    <w:rsid w:val="00383BAC"/>
    <w:rsid w:val="00385E03"/>
    <w:rsid w:val="00385F69"/>
    <w:rsid w:val="0038658B"/>
    <w:rsid w:val="003908C4"/>
    <w:rsid w:val="00392DBA"/>
    <w:rsid w:val="003948B3"/>
    <w:rsid w:val="00394A95"/>
    <w:rsid w:val="003952D7"/>
    <w:rsid w:val="00395A11"/>
    <w:rsid w:val="00395D33"/>
    <w:rsid w:val="00397BA3"/>
    <w:rsid w:val="003A1222"/>
    <w:rsid w:val="003B2136"/>
    <w:rsid w:val="003B2B32"/>
    <w:rsid w:val="003B2CFF"/>
    <w:rsid w:val="003B5E8C"/>
    <w:rsid w:val="003B63F5"/>
    <w:rsid w:val="003B75F0"/>
    <w:rsid w:val="003B7952"/>
    <w:rsid w:val="003C03CD"/>
    <w:rsid w:val="003C1462"/>
    <w:rsid w:val="003C27DA"/>
    <w:rsid w:val="003D08EB"/>
    <w:rsid w:val="003D41A5"/>
    <w:rsid w:val="003D663C"/>
    <w:rsid w:val="003E1B3F"/>
    <w:rsid w:val="003E5A71"/>
    <w:rsid w:val="003E749D"/>
    <w:rsid w:val="003F4023"/>
    <w:rsid w:val="003F42D2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7002"/>
    <w:rsid w:val="004110E2"/>
    <w:rsid w:val="00412CB3"/>
    <w:rsid w:val="00415641"/>
    <w:rsid w:val="00416B48"/>
    <w:rsid w:val="00416F1A"/>
    <w:rsid w:val="00420D5B"/>
    <w:rsid w:val="004225A5"/>
    <w:rsid w:val="00422637"/>
    <w:rsid w:val="00423B60"/>
    <w:rsid w:val="0043066E"/>
    <w:rsid w:val="0043099C"/>
    <w:rsid w:val="0043164A"/>
    <w:rsid w:val="00432229"/>
    <w:rsid w:val="00432974"/>
    <w:rsid w:val="004337C8"/>
    <w:rsid w:val="00440575"/>
    <w:rsid w:val="004411EA"/>
    <w:rsid w:val="00442012"/>
    <w:rsid w:val="00447F13"/>
    <w:rsid w:val="00451C8C"/>
    <w:rsid w:val="00454022"/>
    <w:rsid w:val="00457643"/>
    <w:rsid w:val="00464BA2"/>
    <w:rsid w:val="004657DD"/>
    <w:rsid w:val="0046677B"/>
    <w:rsid w:val="00467E82"/>
    <w:rsid w:val="00470E75"/>
    <w:rsid w:val="0047266A"/>
    <w:rsid w:val="00473686"/>
    <w:rsid w:val="00474400"/>
    <w:rsid w:val="00476700"/>
    <w:rsid w:val="004801A4"/>
    <w:rsid w:val="00480883"/>
    <w:rsid w:val="00483F5C"/>
    <w:rsid w:val="004857D5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D02B8"/>
    <w:rsid w:val="004D2E5B"/>
    <w:rsid w:val="004D3429"/>
    <w:rsid w:val="004D34DF"/>
    <w:rsid w:val="004D3A21"/>
    <w:rsid w:val="004E02D3"/>
    <w:rsid w:val="004E2FE7"/>
    <w:rsid w:val="004E4DA1"/>
    <w:rsid w:val="004E5DFE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2B03"/>
    <w:rsid w:val="00514C7E"/>
    <w:rsid w:val="00515845"/>
    <w:rsid w:val="005177AF"/>
    <w:rsid w:val="005224FA"/>
    <w:rsid w:val="0052288F"/>
    <w:rsid w:val="005240F6"/>
    <w:rsid w:val="0053209A"/>
    <w:rsid w:val="0054005C"/>
    <w:rsid w:val="0054194A"/>
    <w:rsid w:val="005428F6"/>
    <w:rsid w:val="00542FB4"/>
    <w:rsid w:val="0054379C"/>
    <w:rsid w:val="00545E40"/>
    <w:rsid w:val="005530C2"/>
    <w:rsid w:val="005600F6"/>
    <w:rsid w:val="005622FD"/>
    <w:rsid w:val="00562C92"/>
    <w:rsid w:val="0056304D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1EF8"/>
    <w:rsid w:val="00592CE7"/>
    <w:rsid w:val="0059618B"/>
    <w:rsid w:val="00597F48"/>
    <w:rsid w:val="005A4992"/>
    <w:rsid w:val="005A5601"/>
    <w:rsid w:val="005A7A3E"/>
    <w:rsid w:val="005B781D"/>
    <w:rsid w:val="005C3180"/>
    <w:rsid w:val="005C5E67"/>
    <w:rsid w:val="005C608B"/>
    <w:rsid w:val="005D1AE2"/>
    <w:rsid w:val="005D40A6"/>
    <w:rsid w:val="005D451E"/>
    <w:rsid w:val="005D5441"/>
    <w:rsid w:val="005D7228"/>
    <w:rsid w:val="005E3841"/>
    <w:rsid w:val="005E3A9D"/>
    <w:rsid w:val="005E4948"/>
    <w:rsid w:val="005F0148"/>
    <w:rsid w:val="005F7340"/>
    <w:rsid w:val="0060114F"/>
    <w:rsid w:val="0060274E"/>
    <w:rsid w:val="00602AC0"/>
    <w:rsid w:val="006048FD"/>
    <w:rsid w:val="00606B55"/>
    <w:rsid w:val="00612BDB"/>
    <w:rsid w:val="00612E2D"/>
    <w:rsid w:val="00613E70"/>
    <w:rsid w:val="00617226"/>
    <w:rsid w:val="00620D34"/>
    <w:rsid w:val="006233E3"/>
    <w:rsid w:val="00623878"/>
    <w:rsid w:val="0062397C"/>
    <w:rsid w:val="0062450E"/>
    <w:rsid w:val="00626AF6"/>
    <w:rsid w:val="006319DA"/>
    <w:rsid w:val="00631B1F"/>
    <w:rsid w:val="00632EAA"/>
    <w:rsid w:val="0063445B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5360"/>
    <w:rsid w:val="0067627F"/>
    <w:rsid w:val="00676870"/>
    <w:rsid w:val="00682009"/>
    <w:rsid w:val="006832C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380A"/>
    <w:rsid w:val="006A43AF"/>
    <w:rsid w:val="006A637D"/>
    <w:rsid w:val="006A74DA"/>
    <w:rsid w:val="006B0A0C"/>
    <w:rsid w:val="006B196C"/>
    <w:rsid w:val="006B35CA"/>
    <w:rsid w:val="006B39A5"/>
    <w:rsid w:val="006B4A73"/>
    <w:rsid w:val="006B5DB2"/>
    <w:rsid w:val="006C0FF6"/>
    <w:rsid w:val="006C10F5"/>
    <w:rsid w:val="006C4521"/>
    <w:rsid w:val="006C59E0"/>
    <w:rsid w:val="006C634F"/>
    <w:rsid w:val="006D6C35"/>
    <w:rsid w:val="006D7DCD"/>
    <w:rsid w:val="006E0AD0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07789"/>
    <w:rsid w:val="00710719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4E65"/>
    <w:rsid w:val="007658F2"/>
    <w:rsid w:val="00770199"/>
    <w:rsid w:val="0077185D"/>
    <w:rsid w:val="00772C5B"/>
    <w:rsid w:val="00775E44"/>
    <w:rsid w:val="00776C3E"/>
    <w:rsid w:val="007774E7"/>
    <w:rsid w:val="007801B9"/>
    <w:rsid w:val="0078049F"/>
    <w:rsid w:val="00781543"/>
    <w:rsid w:val="00782DF8"/>
    <w:rsid w:val="0079207B"/>
    <w:rsid w:val="007A54EF"/>
    <w:rsid w:val="007A5656"/>
    <w:rsid w:val="007A5C06"/>
    <w:rsid w:val="007B142D"/>
    <w:rsid w:val="007B31F5"/>
    <w:rsid w:val="007B6865"/>
    <w:rsid w:val="007C14A5"/>
    <w:rsid w:val="007C4633"/>
    <w:rsid w:val="007C57AA"/>
    <w:rsid w:val="007C5980"/>
    <w:rsid w:val="007D3A98"/>
    <w:rsid w:val="007D4DA3"/>
    <w:rsid w:val="007D538A"/>
    <w:rsid w:val="007E0829"/>
    <w:rsid w:val="007E15A1"/>
    <w:rsid w:val="007E1AED"/>
    <w:rsid w:val="007E3F85"/>
    <w:rsid w:val="007E4A2B"/>
    <w:rsid w:val="007E708D"/>
    <w:rsid w:val="007F0B89"/>
    <w:rsid w:val="007F11FB"/>
    <w:rsid w:val="007F215B"/>
    <w:rsid w:val="007F343A"/>
    <w:rsid w:val="007F5372"/>
    <w:rsid w:val="00802E3A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30431"/>
    <w:rsid w:val="00830BBA"/>
    <w:rsid w:val="00831471"/>
    <w:rsid w:val="008330D9"/>
    <w:rsid w:val="00833FC9"/>
    <w:rsid w:val="00840B16"/>
    <w:rsid w:val="00840B6E"/>
    <w:rsid w:val="00841983"/>
    <w:rsid w:val="00841EF7"/>
    <w:rsid w:val="008431B4"/>
    <w:rsid w:val="008436DF"/>
    <w:rsid w:val="00843BA0"/>
    <w:rsid w:val="008451F2"/>
    <w:rsid w:val="00850487"/>
    <w:rsid w:val="00850DF1"/>
    <w:rsid w:val="0085141A"/>
    <w:rsid w:val="00852F7E"/>
    <w:rsid w:val="0085485A"/>
    <w:rsid w:val="00854929"/>
    <w:rsid w:val="00855054"/>
    <w:rsid w:val="00860835"/>
    <w:rsid w:val="00862246"/>
    <w:rsid w:val="008631EB"/>
    <w:rsid w:val="00871790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E31"/>
    <w:rsid w:val="008A7F8B"/>
    <w:rsid w:val="008B5673"/>
    <w:rsid w:val="008B7591"/>
    <w:rsid w:val="008C46FE"/>
    <w:rsid w:val="008C60C0"/>
    <w:rsid w:val="008C648F"/>
    <w:rsid w:val="008C6E2B"/>
    <w:rsid w:val="008D0E1C"/>
    <w:rsid w:val="008D490D"/>
    <w:rsid w:val="008E1392"/>
    <w:rsid w:val="008E220D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1680"/>
    <w:rsid w:val="00912E53"/>
    <w:rsid w:val="009141EC"/>
    <w:rsid w:val="00917964"/>
    <w:rsid w:val="00923DBC"/>
    <w:rsid w:val="00924357"/>
    <w:rsid w:val="0092725C"/>
    <w:rsid w:val="00930CE7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2E0E"/>
    <w:rsid w:val="009435E0"/>
    <w:rsid w:val="00947AB8"/>
    <w:rsid w:val="00947D9D"/>
    <w:rsid w:val="00953F63"/>
    <w:rsid w:val="0095687C"/>
    <w:rsid w:val="00957245"/>
    <w:rsid w:val="0096003D"/>
    <w:rsid w:val="009601F4"/>
    <w:rsid w:val="00965B14"/>
    <w:rsid w:val="00970A24"/>
    <w:rsid w:val="0097505A"/>
    <w:rsid w:val="009751B4"/>
    <w:rsid w:val="0097639B"/>
    <w:rsid w:val="009779FA"/>
    <w:rsid w:val="00984DC8"/>
    <w:rsid w:val="0098556B"/>
    <w:rsid w:val="009925DF"/>
    <w:rsid w:val="00992B49"/>
    <w:rsid w:val="00996367"/>
    <w:rsid w:val="00997475"/>
    <w:rsid w:val="009A0270"/>
    <w:rsid w:val="009A1C33"/>
    <w:rsid w:val="009B0E08"/>
    <w:rsid w:val="009B1D90"/>
    <w:rsid w:val="009B2E21"/>
    <w:rsid w:val="009B4D2D"/>
    <w:rsid w:val="009B55DC"/>
    <w:rsid w:val="009B69D4"/>
    <w:rsid w:val="009B7098"/>
    <w:rsid w:val="009B7D86"/>
    <w:rsid w:val="009C2A7C"/>
    <w:rsid w:val="009C45D1"/>
    <w:rsid w:val="009C73A1"/>
    <w:rsid w:val="009D01D8"/>
    <w:rsid w:val="009D0B41"/>
    <w:rsid w:val="009D123B"/>
    <w:rsid w:val="009D6F55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27F6"/>
    <w:rsid w:val="00A04A6C"/>
    <w:rsid w:val="00A0762B"/>
    <w:rsid w:val="00A079AF"/>
    <w:rsid w:val="00A15D2E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4ABB"/>
    <w:rsid w:val="00A44F87"/>
    <w:rsid w:val="00A46A47"/>
    <w:rsid w:val="00A472AD"/>
    <w:rsid w:val="00A477A2"/>
    <w:rsid w:val="00A531AB"/>
    <w:rsid w:val="00A53FF3"/>
    <w:rsid w:val="00A6071B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580A"/>
    <w:rsid w:val="00AA5C6E"/>
    <w:rsid w:val="00AA7942"/>
    <w:rsid w:val="00AB09C6"/>
    <w:rsid w:val="00AB20FB"/>
    <w:rsid w:val="00AB3B97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67A7"/>
    <w:rsid w:val="00AD7F6F"/>
    <w:rsid w:val="00AE3237"/>
    <w:rsid w:val="00AE3A93"/>
    <w:rsid w:val="00AE44FC"/>
    <w:rsid w:val="00AF02FB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3AED"/>
    <w:rsid w:val="00B04D7F"/>
    <w:rsid w:val="00B06C8C"/>
    <w:rsid w:val="00B10C67"/>
    <w:rsid w:val="00B135EC"/>
    <w:rsid w:val="00B16898"/>
    <w:rsid w:val="00B21362"/>
    <w:rsid w:val="00B215B0"/>
    <w:rsid w:val="00B22088"/>
    <w:rsid w:val="00B23041"/>
    <w:rsid w:val="00B23A4D"/>
    <w:rsid w:val="00B23C18"/>
    <w:rsid w:val="00B25375"/>
    <w:rsid w:val="00B30D14"/>
    <w:rsid w:val="00B32C3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76F2"/>
    <w:rsid w:val="00B81C31"/>
    <w:rsid w:val="00B82610"/>
    <w:rsid w:val="00B83D1C"/>
    <w:rsid w:val="00B83DFB"/>
    <w:rsid w:val="00B87258"/>
    <w:rsid w:val="00BA1E3D"/>
    <w:rsid w:val="00BA1F23"/>
    <w:rsid w:val="00BA40A9"/>
    <w:rsid w:val="00BA49B2"/>
    <w:rsid w:val="00BA5214"/>
    <w:rsid w:val="00BA61B1"/>
    <w:rsid w:val="00BA7B81"/>
    <w:rsid w:val="00BB280B"/>
    <w:rsid w:val="00BB3A2F"/>
    <w:rsid w:val="00BB42CC"/>
    <w:rsid w:val="00BB4764"/>
    <w:rsid w:val="00BB4D8C"/>
    <w:rsid w:val="00BB553F"/>
    <w:rsid w:val="00BB5E68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6EB"/>
    <w:rsid w:val="00BE15E9"/>
    <w:rsid w:val="00BE1712"/>
    <w:rsid w:val="00BE257A"/>
    <w:rsid w:val="00BE3DB5"/>
    <w:rsid w:val="00BE5E46"/>
    <w:rsid w:val="00BE6BD9"/>
    <w:rsid w:val="00BE7C61"/>
    <w:rsid w:val="00BF28CE"/>
    <w:rsid w:val="00BF5C20"/>
    <w:rsid w:val="00BF7AED"/>
    <w:rsid w:val="00C014A3"/>
    <w:rsid w:val="00C0184E"/>
    <w:rsid w:val="00C04489"/>
    <w:rsid w:val="00C07B96"/>
    <w:rsid w:val="00C12A71"/>
    <w:rsid w:val="00C15D90"/>
    <w:rsid w:val="00C17FD4"/>
    <w:rsid w:val="00C2005B"/>
    <w:rsid w:val="00C214FD"/>
    <w:rsid w:val="00C21C25"/>
    <w:rsid w:val="00C23B6B"/>
    <w:rsid w:val="00C23C25"/>
    <w:rsid w:val="00C23D35"/>
    <w:rsid w:val="00C240BD"/>
    <w:rsid w:val="00C24A1C"/>
    <w:rsid w:val="00C26531"/>
    <w:rsid w:val="00C3351F"/>
    <w:rsid w:val="00C336F8"/>
    <w:rsid w:val="00C337CC"/>
    <w:rsid w:val="00C35146"/>
    <w:rsid w:val="00C3756A"/>
    <w:rsid w:val="00C407EF"/>
    <w:rsid w:val="00C43239"/>
    <w:rsid w:val="00C507BA"/>
    <w:rsid w:val="00C53106"/>
    <w:rsid w:val="00C5412E"/>
    <w:rsid w:val="00C5448E"/>
    <w:rsid w:val="00C54D0E"/>
    <w:rsid w:val="00C54F8B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656"/>
    <w:rsid w:val="00C80D99"/>
    <w:rsid w:val="00C8169C"/>
    <w:rsid w:val="00C8255E"/>
    <w:rsid w:val="00C82F97"/>
    <w:rsid w:val="00C85349"/>
    <w:rsid w:val="00C856C1"/>
    <w:rsid w:val="00C86F3C"/>
    <w:rsid w:val="00C87891"/>
    <w:rsid w:val="00C91DC4"/>
    <w:rsid w:val="00C92A3F"/>
    <w:rsid w:val="00C955D5"/>
    <w:rsid w:val="00C97C00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7E01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3DAB"/>
    <w:rsid w:val="00D4418E"/>
    <w:rsid w:val="00D452F3"/>
    <w:rsid w:val="00D458DE"/>
    <w:rsid w:val="00D52828"/>
    <w:rsid w:val="00D53491"/>
    <w:rsid w:val="00D53649"/>
    <w:rsid w:val="00D5530C"/>
    <w:rsid w:val="00D5598E"/>
    <w:rsid w:val="00D5702B"/>
    <w:rsid w:val="00D608AD"/>
    <w:rsid w:val="00D62EFD"/>
    <w:rsid w:val="00D66809"/>
    <w:rsid w:val="00D67CDE"/>
    <w:rsid w:val="00D67E50"/>
    <w:rsid w:val="00D709E7"/>
    <w:rsid w:val="00D720FC"/>
    <w:rsid w:val="00D724BF"/>
    <w:rsid w:val="00D756C6"/>
    <w:rsid w:val="00D76B85"/>
    <w:rsid w:val="00D77DF4"/>
    <w:rsid w:val="00D8157E"/>
    <w:rsid w:val="00D82307"/>
    <w:rsid w:val="00D86F6B"/>
    <w:rsid w:val="00D86FC3"/>
    <w:rsid w:val="00D90986"/>
    <w:rsid w:val="00D913FF"/>
    <w:rsid w:val="00D91B2B"/>
    <w:rsid w:val="00D91B67"/>
    <w:rsid w:val="00D94E4A"/>
    <w:rsid w:val="00D9653B"/>
    <w:rsid w:val="00D97169"/>
    <w:rsid w:val="00DA05A1"/>
    <w:rsid w:val="00DA07F1"/>
    <w:rsid w:val="00DA1222"/>
    <w:rsid w:val="00DA29A7"/>
    <w:rsid w:val="00DA403B"/>
    <w:rsid w:val="00DA61C8"/>
    <w:rsid w:val="00DA6C8B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E081B"/>
    <w:rsid w:val="00DE63AD"/>
    <w:rsid w:val="00DE7494"/>
    <w:rsid w:val="00DF4937"/>
    <w:rsid w:val="00E01395"/>
    <w:rsid w:val="00E0208C"/>
    <w:rsid w:val="00E02686"/>
    <w:rsid w:val="00E044F2"/>
    <w:rsid w:val="00E07347"/>
    <w:rsid w:val="00E11B6D"/>
    <w:rsid w:val="00E16413"/>
    <w:rsid w:val="00E16C54"/>
    <w:rsid w:val="00E2226C"/>
    <w:rsid w:val="00E22DFF"/>
    <w:rsid w:val="00E249A2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1CC2"/>
    <w:rsid w:val="00E52F35"/>
    <w:rsid w:val="00E53824"/>
    <w:rsid w:val="00E54477"/>
    <w:rsid w:val="00E54DDA"/>
    <w:rsid w:val="00E60B59"/>
    <w:rsid w:val="00E6336C"/>
    <w:rsid w:val="00E6550D"/>
    <w:rsid w:val="00E65B93"/>
    <w:rsid w:val="00E73BC8"/>
    <w:rsid w:val="00E743CB"/>
    <w:rsid w:val="00E74773"/>
    <w:rsid w:val="00E75757"/>
    <w:rsid w:val="00E803BA"/>
    <w:rsid w:val="00E809A2"/>
    <w:rsid w:val="00E80A8E"/>
    <w:rsid w:val="00E80EBA"/>
    <w:rsid w:val="00E810A2"/>
    <w:rsid w:val="00E84B13"/>
    <w:rsid w:val="00E8505F"/>
    <w:rsid w:val="00E866B7"/>
    <w:rsid w:val="00E972B0"/>
    <w:rsid w:val="00E977CA"/>
    <w:rsid w:val="00E97A46"/>
    <w:rsid w:val="00EA525C"/>
    <w:rsid w:val="00EB0F5A"/>
    <w:rsid w:val="00EB29D8"/>
    <w:rsid w:val="00EB3109"/>
    <w:rsid w:val="00EB61B6"/>
    <w:rsid w:val="00EC0AF5"/>
    <w:rsid w:val="00EC49FD"/>
    <w:rsid w:val="00EC4EBF"/>
    <w:rsid w:val="00EC6109"/>
    <w:rsid w:val="00EC7CAE"/>
    <w:rsid w:val="00ED0482"/>
    <w:rsid w:val="00ED185D"/>
    <w:rsid w:val="00EE13D1"/>
    <w:rsid w:val="00EE3F61"/>
    <w:rsid w:val="00EE71A6"/>
    <w:rsid w:val="00EE7B57"/>
    <w:rsid w:val="00EE7F56"/>
    <w:rsid w:val="00EE7FC9"/>
    <w:rsid w:val="00EF5787"/>
    <w:rsid w:val="00F05CD8"/>
    <w:rsid w:val="00F06E5A"/>
    <w:rsid w:val="00F07D03"/>
    <w:rsid w:val="00F12F29"/>
    <w:rsid w:val="00F136E1"/>
    <w:rsid w:val="00F139AF"/>
    <w:rsid w:val="00F16B6C"/>
    <w:rsid w:val="00F20AEE"/>
    <w:rsid w:val="00F20FBF"/>
    <w:rsid w:val="00F21A60"/>
    <w:rsid w:val="00F26242"/>
    <w:rsid w:val="00F26BC3"/>
    <w:rsid w:val="00F27321"/>
    <w:rsid w:val="00F30216"/>
    <w:rsid w:val="00F400DC"/>
    <w:rsid w:val="00F40918"/>
    <w:rsid w:val="00F40F4B"/>
    <w:rsid w:val="00F4699E"/>
    <w:rsid w:val="00F51B98"/>
    <w:rsid w:val="00F52598"/>
    <w:rsid w:val="00F533C7"/>
    <w:rsid w:val="00F5391F"/>
    <w:rsid w:val="00F5748E"/>
    <w:rsid w:val="00F61A1D"/>
    <w:rsid w:val="00F62AA8"/>
    <w:rsid w:val="00F63322"/>
    <w:rsid w:val="00F71100"/>
    <w:rsid w:val="00F71B92"/>
    <w:rsid w:val="00F72829"/>
    <w:rsid w:val="00F74739"/>
    <w:rsid w:val="00F7511F"/>
    <w:rsid w:val="00F7571C"/>
    <w:rsid w:val="00F758DE"/>
    <w:rsid w:val="00F7692C"/>
    <w:rsid w:val="00F77222"/>
    <w:rsid w:val="00F8001F"/>
    <w:rsid w:val="00F8107B"/>
    <w:rsid w:val="00F82484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1532"/>
    <w:rsid w:val="00FA2131"/>
    <w:rsid w:val="00FA3742"/>
    <w:rsid w:val="00FA40A9"/>
    <w:rsid w:val="00FA4C2A"/>
    <w:rsid w:val="00FA5CAD"/>
    <w:rsid w:val="00FA6116"/>
    <w:rsid w:val="00FA6DF2"/>
    <w:rsid w:val="00FB2728"/>
    <w:rsid w:val="00FB57EB"/>
    <w:rsid w:val="00FB5FC1"/>
    <w:rsid w:val="00FB69C9"/>
    <w:rsid w:val="00FC04E2"/>
    <w:rsid w:val="00FC088B"/>
    <w:rsid w:val="00FC2714"/>
    <w:rsid w:val="00FC4484"/>
    <w:rsid w:val="00FC4B29"/>
    <w:rsid w:val="00FC6539"/>
    <w:rsid w:val="00FD100B"/>
    <w:rsid w:val="00FD367A"/>
    <w:rsid w:val="00FD5E11"/>
    <w:rsid w:val="00FE1EB2"/>
    <w:rsid w:val="00FE30E6"/>
    <w:rsid w:val="00FE4A7A"/>
    <w:rsid w:val="00FE5C82"/>
    <w:rsid w:val="00FF09EF"/>
    <w:rsid w:val="00FF1052"/>
    <w:rsid w:val="00FF1FC8"/>
    <w:rsid w:val="00FF2354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D8B6D-25AE-4918-BE95-213D331E8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4485</TotalTime>
  <Pages>5</Pages>
  <Words>502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992</cp:revision>
  <cp:lastPrinted>2018-03-12T09:18:00Z</cp:lastPrinted>
  <dcterms:created xsi:type="dcterms:W3CDTF">2018-02-02T13:49:00Z</dcterms:created>
  <dcterms:modified xsi:type="dcterms:W3CDTF">2018-10-15T08:22:00Z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