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EB112D">
        <w:rPr>
          <w:rFonts w:ascii="Calibri Light" w:hAnsi="Calibri Light" w:cs="Arial"/>
          <w:b/>
          <w:sz w:val="44"/>
          <w:szCs w:val="44"/>
        </w:rPr>
        <w:t>1</w:t>
      </w:r>
      <w:r w:rsidR="000E0A8B">
        <w:rPr>
          <w:rFonts w:ascii="Calibri Light" w:hAnsi="Calibri Light" w:cs="Arial"/>
          <w:b/>
          <w:sz w:val="44"/>
          <w:szCs w:val="44"/>
        </w:rPr>
        <w:t>9</w:t>
      </w:r>
      <w:r w:rsidR="000103AA">
        <w:rPr>
          <w:rFonts w:ascii="Calibri Light" w:hAnsi="Calibri Light" w:cs="Arial"/>
          <w:b/>
          <w:sz w:val="44"/>
          <w:szCs w:val="44"/>
        </w:rPr>
        <w:t xml:space="preserve"> novembre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9618B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13E70" w:rsidRDefault="00F17658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7658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75" cy="4183380"/>
            <wp:effectExtent l="0" t="0" r="3175" b="7620"/>
            <wp:docPr id="1" name="Image 1" descr="C:\Users\EPBFIA~1\AppData\Local\Temp\Bloomberg\temp\bfm442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4429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6" cy="418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Pr="00613E70" w:rsidRDefault="00F17658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7658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66260"/>
            <wp:effectExtent l="0" t="0" r="3175" b="0"/>
            <wp:docPr id="2" name="Image 2" descr="C:\Users\EPBFIA~1\AppData\Local\Temp\Bloomberg\temp\bfmA13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A13F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0" cy="4366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0C" w:rsidRPr="00613E70" w:rsidRDefault="005E3841" w:rsidP="00B65AF1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F17658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17658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267200"/>
            <wp:effectExtent l="0" t="0" r="3175" b="0"/>
            <wp:docPr id="3" name="Image 3" descr="C:\Users\EPBFIA~1\AppData\Local\Temp\Bloomberg\temp\bfmE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E13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95" cy="426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42B" w:rsidRPr="00613E70" w:rsidRDefault="0077442B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DE7014" w:rsidRDefault="00F72829" w:rsidP="0077442B">
      <w:pPr>
        <w:jc w:val="both"/>
        <w:rPr>
          <w:rFonts w:ascii="Tahoma" w:hAnsi="Tahoma" w:cs="Tahoma"/>
          <w:bCs/>
        </w:rPr>
      </w:pPr>
      <w:r w:rsidRPr="00924357">
        <w:rPr>
          <w:rFonts w:ascii="Arial" w:hAnsi="Arial" w:cs="Arial"/>
          <w:b/>
        </w:rPr>
        <w:t>M</w:t>
      </w:r>
      <w:r w:rsidR="00DC3AA6" w:rsidRPr="00924357">
        <w:rPr>
          <w:rFonts w:ascii="Arial" w:hAnsi="Arial" w:cs="Arial"/>
          <w:b/>
        </w:rPr>
        <w:t xml:space="preserve"> : </w:t>
      </w:r>
      <w:r w:rsidR="0077442B">
        <w:rPr>
          <w:rFonts w:ascii="Tahoma" w:hAnsi="Tahoma" w:cs="Tahoma"/>
          <w:bCs/>
        </w:rPr>
        <w:t>TS et KS de l</w:t>
      </w:r>
      <w:r w:rsidR="00715596">
        <w:rPr>
          <w:rFonts w:ascii="Tahoma" w:hAnsi="Tahoma" w:cs="Tahoma"/>
          <w:bCs/>
        </w:rPr>
        <w:t xml:space="preserve">ong terme ont bougé en novembre pour </w:t>
      </w:r>
      <w:r w:rsidR="008908BF">
        <w:rPr>
          <w:rFonts w:ascii="Tahoma" w:hAnsi="Tahoma" w:cs="Tahoma"/>
          <w:bCs/>
        </w:rPr>
        <w:t>s</w:t>
      </w:r>
      <w:r w:rsidR="00715596">
        <w:rPr>
          <w:rFonts w:ascii="Tahoma" w:hAnsi="Tahoma" w:cs="Tahoma"/>
          <w:bCs/>
        </w:rPr>
        <w:t>e rapprocher. Elles se situent respectivement sur 0.44 et 0.34. Ces points pourront servir de support ou de résistance mais les anciens plats de 0.50 et de 0.30 seront plus appropriés.</w:t>
      </w:r>
    </w:p>
    <w:p w:rsidR="00715596" w:rsidRDefault="00715596" w:rsidP="0077442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taux évolue dans son nuage qui représente une large zone d’équilibre de longue période. Ses bornes s</w:t>
      </w:r>
      <w:r w:rsidR="00167798">
        <w:rPr>
          <w:rFonts w:ascii="Tahoma" w:hAnsi="Tahoma" w:cs="Tahoma"/>
          <w:bCs/>
        </w:rPr>
        <w:t>er</w:t>
      </w:r>
      <w:r>
        <w:rPr>
          <w:rFonts w:ascii="Tahoma" w:hAnsi="Tahoma" w:cs="Tahoma"/>
          <w:bCs/>
        </w:rPr>
        <w:t>ont pour le mois sur 0.26 et 0.94.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715596" w:rsidRDefault="003A1222" w:rsidP="000E0A8B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B30DFC" w:rsidRPr="00B30DFC">
        <w:rPr>
          <w:rFonts w:ascii="Tahoma" w:hAnsi="Tahoma" w:cs="Tahoma"/>
          <w:bCs/>
        </w:rPr>
        <w:t>Le taux e</w:t>
      </w:r>
      <w:r w:rsidR="00B30DFC">
        <w:rPr>
          <w:rFonts w:ascii="Tahoma" w:hAnsi="Tahoma" w:cs="Tahoma"/>
          <w:bCs/>
        </w:rPr>
        <w:t xml:space="preserve">t la LS sont sous leur nuage respectif. Cette observation avantage le contexte baissier du 10 ans sur le moyen terme mais le développement horizontal du nuage futur </w:t>
      </w:r>
      <w:r w:rsidR="004E4C26">
        <w:rPr>
          <w:rFonts w:ascii="Tahoma" w:hAnsi="Tahoma" w:cs="Tahoma"/>
          <w:bCs/>
        </w:rPr>
        <w:t xml:space="preserve">lui favorise </w:t>
      </w:r>
      <w:r w:rsidR="00B30DFC">
        <w:rPr>
          <w:rFonts w:ascii="Tahoma" w:hAnsi="Tahoma" w:cs="Tahoma"/>
          <w:bCs/>
        </w:rPr>
        <w:t>pour le moment la consolidation au sein d’une large zone comprise entre 0.19 et 0.80.</w:t>
      </w:r>
    </w:p>
    <w:p w:rsidR="003C0097" w:rsidRPr="00B30DFC" w:rsidRDefault="003C0097" w:rsidP="000E0A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Dans ce contexte, la cassure du nuage par le taux, soutenue par la rupture </w:t>
      </w:r>
      <w:r w:rsidR="004E4C26">
        <w:rPr>
          <w:rFonts w:ascii="Tahoma" w:hAnsi="Tahoma" w:cs="Tahoma"/>
          <w:bCs/>
        </w:rPr>
        <w:t xml:space="preserve">de 0.38, </w:t>
      </w:r>
      <w:r>
        <w:rPr>
          <w:rFonts w:ascii="Tahoma" w:hAnsi="Tahoma" w:cs="Tahoma"/>
          <w:bCs/>
        </w:rPr>
        <w:t xml:space="preserve">nuage </w:t>
      </w:r>
      <w:r w:rsidR="004E4C26">
        <w:rPr>
          <w:rFonts w:ascii="Tahoma" w:hAnsi="Tahoma" w:cs="Tahoma"/>
          <w:bCs/>
        </w:rPr>
        <w:t>de</w:t>
      </w:r>
      <w:r>
        <w:rPr>
          <w:rFonts w:ascii="Tahoma" w:hAnsi="Tahoma" w:cs="Tahoma"/>
          <w:bCs/>
        </w:rPr>
        <w:t xml:space="preserve"> la LS</w:t>
      </w:r>
      <w:r w:rsidR="004E4C26">
        <w:rPr>
          <w:rFonts w:ascii="Tahoma" w:hAnsi="Tahoma" w:cs="Tahoma"/>
          <w:bCs/>
        </w:rPr>
        <w:t>,</w:t>
      </w:r>
      <w:r>
        <w:rPr>
          <w:rFonts w:ascii="Tahoma" w:hAnsi="Tahoma" w:cs="Tahoma"/>
          <w:bCs/>
        </w:rPr>
        <w:t xml:space="preserve"> favoriser</w:t>
      </w:r>
      <w:r w:rsidR="004E4C26">
        <w:rPr>
          <w:rFonts w:ascii="Tahoma" w:hAnsi="Tahoma" w:cs="Tahoma"/>
          <w:bCs/>
        </w:rPr>
        <w:t>ont</w:t>
      </w:r>
      <w:r>
        <w:rPr>
          <w:rFonts w:ascii="Tahoma" w:hAnsi="Tahoma" w:cs="Tahoma"/>
          <w:bCs/>
        </w:rPr>
        <w:t xml:space="preserve"> la poursuite de la baisse en direction des supports de 0.30 puis de 0.19. Cette vue sera conditionnée par </w:t>
      </w:r>
      <w:r w:rsidR="004F3450">
        <w:rPr>
          <w:rFonts w:ascii="Tahoma" w:hAnsi="Tahoma" w:cs="Tahoma"/>
          <w:bCs/>
        </w:rPr>
        <w:t xml:space="preserve">un maintien du 10 ans sous 0.38 en </w:t>
      </w:r>
      <w:r w:rsidR="004C793E">
        <w:rPr>
          <w:rFonts w:ascii="Tahoma" w:hAnsi="Tahoma" w:cs="Tahoma"/>
          <w:bCs/>
        </w:rPr>
        <w:t>clôture</w:t>
      </w:r>
      <w:r w:rsidR="004F3450">
        <w:rPr>
          <w:rFonts w:ascii="Tahoma" w:hAnsi="Tahoma" w:cs="Tahoma"/>
          <w:bCs/>
        </w:rPr>
        <w:t xml:space="preserve"> hebdomadaire.</w:t>
      </w:r>
    </w:p>
    <w:p w:rsidR="00153318" w:rsidRPr="000619D3" w:rsidRDefault="006B0BF0" w:rsidP="00B0131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</w:t>
      </w:r>
    </w:p>
    <w:p w:rsidR="00C54D0E" w:rsidRDefault="00A82504" w:rsidP="000E0A8B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9A1149" w:rsidRPr="009A1149">
        <w:rPr>
          <w:rFonts w:ascii="Tahoma" w:hAnsi="Tahoma" w:cs="Tahoma"/>
          <w:bCs/>
        </w:rPr>
        <w:t xml:space="preserve">La baisse </w:t>
      </w:r>
      <w:r w:rsidR="009A1149">
        <w:rPr>
          <w:rFonts w:ascii="Tahoma" w:hAnsi="Tahoma" w:cs="Tahoma"/>
          <w:bCs/>
        </w:rPr>
        <w:t xml:space="preserve">sera avantagée sur le court terme </w:t>
      </w:r>
      <w:r w:rsidR="00164E23">
        <w:rPr>
          <w:rFonts w:ascii="Tahoma" w:hAnsi="Tahoma" w:cs="Tahoma"/>
          <w:bCs/>
        </w:rPr>
        <w:t xml:space="preserve">tant que le 10 ans se maintiendra sous 0.38 (en </w:t>
      </w:r>
      <w:r w:rsidR="004C793E">
        <w:rPr>
          <w:rFonts w:ascii="Tahoma" w:hAnsi="Tahoma" w:cs="Tahoma"/>
          <w:bCs/>
        </w:rPr>
        <w:t>clôture</w:t>
      </w:r>
      <w:r w:rsidR="00164E23">
        <w:rPr>
          <w:rFonts w:ascii="Tahoma" w:hAnsi="Tahoma" w:cs="Tahoma"/>
          <w:bCs/>
        </w:rPr>
        <w:t>). Mais pour retrouver une tendance favorable à une poursuite de la baisse, le marché devra s’établir sous le bas récent de 0.33. Sans ce dépassement, pas de tendance mais de la volatilité.</w:t>
      </w:r>
    </w:p>
    <w:p w:rsidR="001A01D2" w:rsidRPr="009A1149" w:rsidRDefault="001A01D2" w:rsidP="000E0A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Sur cette unité de temps, la résistance est concrétisée par un plat de nuage sur 0.43.</w:t>
      </w:r>
    </w:p>
    <w:p w:rsidR="00167798" w:rsidRDefault="00167798" w:rsidP="00FD5E11">
      <w:pPr>
        <w:jc w:val="both"/>
        <w:rPr>
          <w:rFonts w:ascii="Tahoma" w:hAnsi="Tahoma" w:cs="Tahoma"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72039B" w:rsidRPr="002759EF" w:rsidRDefault="00F72829" w:rsidP="00446A18">
      <w:pPr>
        <w:jc w:val="both"/>
        <w:rPr>
          <w:rFonts w:ascii="Arial" w:hAnsi="Arial" w:cs="Arial"/>
          <w:b/>
          <w:color w:val="00B050"/>
        </w:rPr>
      </w:pPr>
      <w:r w:rsidRPr="002759EF">
        <w:rPr>
          <w:rFonts w:ascii="Arial" w:hAnsi="Arial" w:cs="Arial"/>
          <w:b/>
          <w:color w:val="00B050"/>
          <w:u w:val="single"/>
        </w:rPr>
        <w:t>HEBDOMADAIRE</w:t>
      </w:r>
      <w:r w:rsidRPr="002759EF">
        <w:rPr>
          <w:rFonts w:ascii="Arial" w:hAnsi="Arial" w:cs="Arial"/>
          <w:b/>
          <w:color w:val="00B050"/>
        </w:rPr>
        <w:t xml:space="preserve"> : </w:t>
      </w:r>
      <w:r w:rsidR="00446A18" w:rsidRPr="002759EF">
        <w:rPr>
          <w:rFonts w:ascii="Arial" w:hAnsi="Arial" w:cs="Arial"/>
          <w:b/>
          <w:color w:val="00B050"/>
        </w:rPr>
        <w:t xml:space="preserve">Baissier sur le court terme en maintien du taux sous 0.38. Le support de 0.33 devra être franchi pour que le marché retrouve du potentiel à la baisse avec pour cible 0.30 et en rupture 0.19. </w:t>
      </w:r>
    </w:p>
    <w:p w:rsidR="00684F60" w:rsidRPr="000E0A8B" w:rsidRDefault="00684F60" w:rsidP="00F72829">
      <w:pPr>
        <w:jc w:val="both"/>
        <w:rPr>
          <w:rFonts w:ascii="Arial" w:hAnsi="Arial" w:cs="Arial"/>
          <w:b/>
          <w:color w:val="FF0000"/>
        </w:rPr>
      </w:pPr>
    </w:p>
    <w:p w:rsidR="001C758E" w:rsidRDefault="001C758E" w:rsidP="00F72829">
      <w:pPr>
        <w:jc w:val="both"/>
        <w:rPr>
          <w:rFonts w:ascii="Tahoma" w:hAnsi="Tahoma" w:cs="Tahoma"/>
          <w:color w:val="00B050"/>
        </w:rPr>
      </w:pPr>
    </w:p>
    <w:p w:rsidR="00941E94" w:rsidRDefault="00941E94" w:rsidP="00F72829">
      <w:pPr>
        <w:jc w:val="both"/>
        <w:rPr>
          <w:rFonts w:ascii="Tahoma" w:hAnsi="Tahoma" w:cs="Tahoma"/>
          <w:color w:val="00B050"/>
        </w:rPr>
      </w:pPr>
    </w:p>
    <w:p w:rsidR="0051588E" w:rsidRPr="002A2E2C" w:rsidRDefault="0051588E" w:rsidP="00F72829">
      <w:pPr>
        <w:jc w:val="both"/>
        <w:rPr>
          <w:rFonts w:ascii="Tahoma" w:hAnsi="Tahoma" w:cs="Tahoma"/>
          <w:color w:val="00B050"/>
        </w:rPr>
      </w:pPr>
    </w:p>
    <w:p w:rsidR="00F72829" w:rsidRPr="00487B1D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487B1D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487B1D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87B1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487B1D" w:rsidRDefault="002F1F80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F1F8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13860"/>
            <wp:effectExtent l="0" t="0" r="3175" b="0"/>
            <wp:docPr id="4" name="Image 4" descr="C:\Users\EPBFIA~1\AppData\Local\Temp\Bloomberg\temp\bfmB10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B10F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71" cy="421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6F0A91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6F0A91" w:rsidRDefault="00916A59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916A59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4" cy="4198620"/>
            <wp:effectExtent l="0" t="0" r="3810" b="0"/>
            <wp:docPr id="14" name="Image 14" descr="C:\Users\EPBFIA~1\AppData\Local\Temp\Bloomberg\temp\bfm16C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PBFIA~1\AppData\Local\Temp\Bloomberg\temp\bfm16CA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309" cy="4200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55E" w:rsidRPr="006F0A91" w:rsidRDefault="00A30EF5" w:rsidP="00571826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6F0A91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6F0A9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3AD4" w:rsidRPr="006F0A91" w:rsidRDefault="002F1F80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F1F8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3939540"/>
            <wp:effectExtent l="0" t="0" r="3175" b="3810"/>
            <wp:docPr id="6" name="Image 6" descr="C:\Users\EPBFIA~1\AppData\Local\Temp\Bloomberg\temp\bfm70A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PBFIA~1\AppData\Local\Temp\Bloomberg\temp\bfm70A8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6" cy="394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6F0A91" w:rsidRDefault="00733AD4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132795" w:rsidRDefault="00D2583B" w:rsidP="00545526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D07DCB">
        <w:rPr>
          <w:rFonts w:ascii="Arial" w:hAnsi="Arial" w:cs="Arial"/>
          <w:b/>
          <w:bCs/>
        </w:rPr>
        <w:t>M</w:t>
      </w:r>
      <w:r w:rsidRPr="00D07DCB">
        <w:rPr>
          <w:rFonts w:ascii="Tahoma" w:hAnsi="Tahoma" w:cs="Tahoma"/>
        </w:rPr>
        <w:t> </w:t>
      </w:r>
      <w:r w:rsidRPr="00CA151C">
        <w:rPr>
          <w:rFonts w:ascii="Tahoma" w:hAnsi="Tahoma" w:cs="Tahoma"/>
        </w:rPr>
        <w:t xml:space="preserve">: </w:t>
      </w:r>
      <w:r w:rsidR="00545526">
        <w:rPr>
          <w:rFonts w:ascii="Tahoma" w:hAnsi="Tahoma" w:cs="Tahoma"/>
        </w:rPr>
        <w:t xml:space="preserve">Le contexte est haussier sur le long terme. La TS sur 2.98 sera le premier </w:t>
      </w:r>
      <w:r w:rsidR="00DE3A09">
        <w:rPr>
          <w:rFonts w:ascii="Tahoma" w:hAnsi="Tahoma" w:cs="Tahoma"/>
        </w:rPr>
        <w:t>obstacle</w:t>
      </w:r>
      <w:r w:rsidR="00545526">
        <w:rPr>
          <w:rFonts w:ascii="Tahoma" w:hAnsi="Tahoma" w:cs="Tahoma"/>
        </w:rPr>
        <w:t xml:space="preserve"> re</w:t>
      </w:r>
      <w:r w:rsidR="00DE3A09">
        <w:rPr>
          <w:rFonts w:ascii="Tahoma" w:hAnsi="Tahoma" w:cs="Tahoma"/>
        </w:rPr>
        <w:t>n</w:t>
      </w:r>
      <w:r w:rsidR="00545526">
        <w:rPr>
          <w:rFonts w:ascii="Tahoma" w:hAnsi="Tahoma" w:cs="Tahoma"/>
        </w:rPr>
        <w:t>contr</w:t>
      </w:r>
      <w:r w:rsidR="00DE3A09">
        <w:rPr>
          <w:rFonts w:ascii="Tahoma" w:hAnsi="Tahoma" w:cs="Tahoma"/>
        </w:rPr>
        <w:t>é</w:t>
      </w:r>
      <w:r w:rsidR="00545526">
        <w:rPr>
          <w:rFonts w:ascii="Tahoma" w:hAnsi="Tahoma" w:cs="Tahoma"/>
        </w:rPr>
        <w:t xml:space="preserve"> </w:t>
      </w:r>
      <w:r w:rsidR="00DE3A09">
        <w:rPr>
          <w:rFonts w:ascii="Tahoma" w:hAnsi="Tahoma" w:cs="Tahoma"/>
        </w:rPr>
        <w:t xml:space="preserve">une </w:t>
      </w:r>
      <w:r w:rsidR="00545526">
        <w:rPr>
          <w:rFonts w:ascii="Tahoma" w:hAnsi="Tahoma" w:cs="Tahoma"/>
        </w:rPr>
        <w:t>correction du marché.</w:t>
      </w:r>
    </w:p>
    <w:p w:rsidR="00545526" w:rsidRPr="00CA151C" w:rsidRDefault="002F3703" w:rsidP="00545526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Pas de remise en cause de cet environnement tant que le taux s</w:t>
      </w:r>
      <w:r w:rsidR="00521EE7">
        <w:rPr>
          <w:rFonts w:ascii="Tahoma" w:hAnsi="Tahoma" w:cs="Tahoma"/>
        </w:rPr>
        <w:t xml:space="preserve">e maintiendra </w:t>
      </w:r>
      <w:r w:rsidR="00B2134A">
        <w:rPr>
          <w:rFonts w:ascii="Tahoma" w:hAnsi="Tahoma" w:cs="Tahoma"/>
        </w:rPr>
        <w:t>au-dessus</w:t>
      </w:r>
      <w:r w:rsidR="00521EE7">
        <w:rPr>
          <w:rFonts w:ascii="Tahoma" w:hAnsi="Tahoma" w:cs="Tahoma"/>
        </w:rPr>
        <w:t xml:space="preserve"> de 2.69</w:t>
      </w:r>
      <w:r w:rsidR="00DE3A09">
        <w:rPr>
          <w:rFonts w:ascii="Tahoma" w:hAnsi="Tahoma" w:cs="Tahoma"/>
        </w:rPr>
        <w:t>, support</w:t>
      </w:r>
      <w:r w:rsidR="00521EE7">
        <w:rPr>
          <w:rFonts w:ascii="Tahoma" w:hAnsi="Tahoma" w:cs="Tahoma"/>
        </w:rPr>
        <w:t xml:space="preserve"> matérialisé par </w:t>
      </w:r>
      <w:r w:rsidR="00DE3A09">
        <w:rPr>
          <w:rFonts w:ascii="Tahoma" w:hAnsi="Tahoma" w:cs="Tahoma"/>
        </w:rPr>
        <w:t>le</w:t>
      </w:r>
      <w:r w:rsidR="00521EE7">
        <w:rPr>
          <w:rFonts w:ascii="Tahoma" w:hAnsi="Tahoma" w:cs="Tahoma"/>
        </w:rPr>
        <w:t xml:space="preserve"> plat de nuage de la LS.</w:t>
      </w:r>
    </w:p>
    <w:p w:rsidR="00D8157E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F0241F" w:rsidRDefault="00D2583B" w:rsidP="000E0A8B">
      <w:pPr>
        <w:jc w:val="both"/>
        <w:rPr>
          <w:rFonts w:ascii="Tahoma" w:hAnsi="Tahoma" w:cs="Tahoma"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78148C" w:rsidRPr="0078148C">
        <w:rPr>
          <w:rFonts w:ascii="Tahoma" w:hAnsi="Tahoma" w:cs="Tahoma"/>
        </w:rPr>
        <w:t>Après avoir touché pour la seconde fois la résistance de 3.26, le 10 ans US est reparti à la baisse.</w:t>
      </w:r>
    </w:p>
    <w:p w:rsidR="00DA6FBE" w:rsidRDefault="00DA6FBE" w:rsidP="000E0A8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mouvement reste inscrit dans un environnement haussier de moyen terme où taux et LS évoluent </w:t>
      </w:r>
      <w:r w:rsidR="00B2134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d’un nuage qui progresse.</w:t>
      </w:r>
    </w:p>
    <w:p w:rsidR="00FE17F5" w:rsidRDefault="00FE17F5" w:rsidP="000E0A8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92306D">
        <w:rPr>
          <w:rFonts w:ascii="Tahoma" w:hAnsi="Tahoma" w:cs="Tahoma"/>
        </w:rPr>
        <w:t>K</w:t>
      </w:r>
      <w:r>
        <w:rPr>
          <w:rFonts w:ascii="Tahoma" w:hAnsi="Tahoma" w:cs="Tahoma"/>
        </w:rPr>
        <w:t>S s’est aplatie sur 3.00. Entre 2.75 et 3.26 elle servira de force de rappel et attirera le marché</w:t>
      </w:r>
      <w:r w:rsidR="0092306D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</w:p>
    <w:p w:rsidR="00D16E6F" w:rsidRDefault="00D16E6F" w:rsidP="000E0A8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Elle joue actuellement un </w:t>
      </w:r>
      <w:r w:rsidR="00B2134A">
        <w:rPr>
          <w:rFonts w:ascii="Tahoma" w:hAnsi="Tahoma" w:cs="Tahoma"/>
        </w:rPr>
        <w:t>rôle</w:t>
      </w:r>
      <w:r>
        <w:rPr>
          <w:rFonts w:ascii="Tahoma" w:hAnsi="Tahoma" w:cs="Tahoma"/>
        </w:rPr>
        <w:t xml:space="preserve"> de support. Sa cassure la transformera en résistance et orientera le </w:t>
      </w:r>
      <w:r w:rsidR="0092306D">
        <w:rPr>
          <w:rFonts w:ascii="Tahoma" w:hAnsi="Tahoma" w:cs="Tahoma"/>
        </w:rPr>
        <w:t>taux</w:t>
      </w:r>
      <w:r>
        <w:rPr>
          <w:rFonts w:ascii="Tahoma" w:hAnsi="Tahoma" w:cs="Tahoma"/>
        </w:rPr>
        <w:t xml:space="preserve"> sur </w:t>
      </w:r>
      <w:r w:rsidR="0092306D">
        <w:rPr>
          <w:rFonts w:ascii="Tahoma" w:hAnsi="Tahoma" w:cs="Tahoma"/>
        </w:rPr>
        <w:t xml:space="preserve">2.81, borne haute de </w:t>
      </w:r>
      <w:r>
        <w:rPr>
          <w:rFonts w:ascii="Tahoma" w:hAnsi="Tahoma" w:cs="Tahoma"/>
        </w:rPr>
        <w:t>son nuage.</w:t>
      </w:r>
    </w:p>
    <w:p w:rsidR="00984DC8" w:rsidRPr="004D2E5B" w:rsidRDefault="0027656D" w:rsidP="001259C9">
      <w:pPr>
        <w:jc w:val="both"/>
        <w:rPr>
          <w:rFonts w:ascii="Tahoma" w:hAnsi="Tahoma" w:cs="Tahoma"/>
        </w:rPr>
      </w:pPr>
      <w:r w:rsidRPr="0027656D">
        <w:rPr>
          <w:rFonts w:ascii="Tahoma" w:hAnsi="Tahoma" w:cs="Tahoma"/>
        </w:rPr>
        <w:t xml:space="preserve"> </w:t>
      </w:r>
    </w:p>
    <w:p w:rsidR="00C87D28" w:rsidRDefault="003D663C" w:rsidP="000E0A8B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1"/>
      <w:r w:rsidR="00032EF8">
        <w:rPr>
          <w:rFonts w:ascii="Arial" w:hAnsi="Arial" w:cs="Arial"/>
          <w:b/>
          <w:bCs/>
        </w:rPr>
        <w:t xml:space="preserve">: </w:t>
      </w:r>
      <w:r w:rsidR="008600E7">
        <w:rPr>
          <w:rFonts w:ascii="Tahoma" w:hAnsi="Tahoma" w:cs="Tahoma"/>
          <w:bCs/>
        </w:rPr>
        <w:t xml:space="preserve">Le 10 ans US est revenu </w:t>
      </w:r>
      <w:r w:rsidR="0092306D">
        <w:rPr>
          <w:rFonts w:ascii="Tahoma" w:hAnsi="Tahoma" w:cs="Tahoma"/>
          <w:bCs/>
        </w:rPr>
        <w:t>dans</w:t>
      </w:r>
      <w:r w:rsidR="008600E7">
        <w:rPr>
          <w:rFonts w:ascii="Tahoma" w:hAnsi="Tahoma" w:cs="Tahoma"/>
          <w:bCs/>
        </w:rPr>
        <w:t xml:space="preserve"> son nuage dont la borne basse </w:t>
      </w:r>
      <w:r w:rsidR="0092306D">
        <w:rPr>
          <w:rFonts w:ascii="Tahoma" w:hAnsi="Tahoma" w:cs="Tahoma"/>
          <w:bCs/>
        </w:rPr>
        <w:t xml:space="preserve">est </w:t>
      </w:r>
      <w:r w:rsidR="008600E7">
        <w:rPr>
          <w:rFonts w:ascii="Tahoma" w:hAnsi="Tahoma" w:cs="Tahoma"/>
          <w:bCs/>
        </w:rPr>
        <w:t>matérialisé</w:t>
      </w:r>
      <w:r w:rsidR="00086339">
        <w:rPr>
          <w:rFonts w:ascii="Tahoma" w:hAnsi="Tahoma" w:cs="Tahoma"/>
          <w:bCs/>
        </w:rPr>
        <w:t>e</w:t>
      </w:r>
      <w:r w:rsidR="008600E7">
        <w:rPr>
          <w:rFonts w:ascii="Tahoma" w:hAnsi="Tahoma" w:cs="Tahoma"/>
          <w:bCs/>
        </w:rPr>
        <w:t xml:space="preserve"> par un plat </w:t>
      </w:r>
      <w:r w:rsidR="0092306D">
        <w:rPr>
          <w:rFonts w:ascii="Tahoma" w:hAnsi="Tahoma" w:cs="Tahoma"/>
          <w:bCs/>
        </w:rPr>
        <w:t>à 3.03. Ce point</w:t>
      </w:r>
      <w:r w:rsidR="008600E7">
        <w:rPr>
          <w:rFonts w:ascii="Tahoma" w:hAnsi="Tahoma" w:cs="Tahoma"/>
          <w:bCs/>
        </w:rPr>
        <w:t xml:space="preserve"> servira de support en rupture du bas récent de 3.05.</w:t>
      </w:r>
    </w:p>
    <w:p w:rsidR="008600E7" w:rsidRDefault="008600E7" w:rsidP="000E0A8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La KS s’est aplatie sur 3.15. Elle sert </w:t>
      </w:r>
      <w:r w:rsidR="005B08BC">
        <w:rPr>
          <w:rFonts w:ascii="Tahoma" w:hAnsi="Tahoma" w:cs="Tahoma"/>
          <w:bCs/>
        </w:rPr>
        <w:t xml:space="preserve">aujourd’hui </w:t>
      </w:r>
      <w:r>
        <w:rPr>
          <w:rFonts w:ascii="Tahoma" w:hAnsi="Tahoma" w:cs="Tahoma"/>
          <w:bCs/>
        </w:rPr>
        <w:t xml:space="preserve">de résistance. Un maintien du marché sous 3.15 favorisera le test de la borne basse du nuage de 3.03. </w:t>
      </w:r>
    </w:p>
    <w:p w:rsidR="008600E7" w:rsidRPr="0041146D" w:rsidRDefault="008600E7" w:rsidP="000E0A8B">
      <w:pPr>
        <w:jc w:val="both"/>
        <w:rPr>
          <w:rFonts w:ascii="Tahoma" w:hAnsi="Tahoma" w:cs="Tahoma"/>
        </w:rPr>
      </w:pPr>
      <w:r>
        <w:rPr>
          <w:rFonts w:ascii="Tahoma" w:hAnsi="Tahoma" w:cs="Tahoma"/>
          <w:bCs/>
        </w:rPr>
        <w:t>Quoi qu’il en soit, les nombreux plats de cette unité de temps et l’évolution du nuage futur avantage la consolid</w:t>
      </w:r>
      <w:r w:rsidR="005B08BC">
        <w:rPr>
          <w:rFonts w:ascii="Tahoma" w:hAnsi="Tahoma" w:cs="Tahoma"/>
          <w:bCs/>
        </w:rPr>
        <w:t xml:space="preserve">ation du taux. Ils </w:t>
      </w:r>
      <w:r>
        <w:rPr>
          <w:rFonts w:ascii="Tahoma" w:hAnsi="Tahoma" w:cs="Tahoma"/>
          <w:bCs/>
        </w:rPr>
        <w:t>limite</w:t>
      </w:r>
      <w:r w:rsidR="005B08BC">
        <w:rPr>
          <w:rFonts w:ascii="Tahoma" w:hAnsi="Tahoma" w:cs="Tahoma"/>
          <w:bCs/>
        </w:rPr>
        <w:t>nt</w:t>
      </w:r>
      <w:r w:rsidR="002738EB">
        <w:rPr>
          <w:rFonts w:ascii="Tahoma" w:hAnsi="Tahoma" w:cs="Tahoma"/>
          <w:bCs/>
        </w:rPr>
        <w:t xml:space="preserve"> </w:t>
      </w:r>
      <w:r w:rsidR="005B08BC">
        <w:rPr>
          <w:rFonts w:ascii="Tahoma" w:hAnsi="Tahoma" w:cs="Tahoma"/>
          <w:bCs/>
        </w:rPr>
        <w:t>actuellement</w:t>
      </w:r>
      <w:r>
        <w:rPr>
          <w:rFonts w:ascii="Tahoma" w:hAnsi="Tahoma" w:cs="Tahoma"/>
          <w:bCs/>
        </w:rPr>
        <w:t xml:space="preserve"> les mouvement</w:t>
      </w:r>
      <w:r w:rsidR="00042BFD">
        <w:rPr>
          <w:rFonts w:ascii="Tahoma" w:hAnsi="Tahoma" w:cs="Tahoma"/>
          <w:bCs/>
        </w:rPr>
        <w:t>s</w:t>
      </w:r>
      <w:r>
        <w:rPr>
          <w:rFonts w:ascii="Tahoma" w:hAnsi="Tahoma" w:cs="Tahoma"/>
          <w:bCs/>
        </w:rPr>
        <w:t xml:space="preserve"> de hausse ou de baisse.</w:t>
      </w:r>
    </w:p>
    <w:p w:rsidR="00C21649" w:rsidRDefault="00C21649" w:rsidP="006E6472">
      <w:pPr>
        <w:jc w:val="both"/>
        <w:rPr>
          <w:rFonts w:ascii="Tahoma" w:hAnsi="Tahoma" w:cs="Tahoma"/>
        </w:rPr>
      </w:pPr>
    </w:p>
    <w:p w:rsidR="00C21649" w:rsidRDefault="00C21649" w:rsidP="006E6472">
      <w:pPr>
        <w:jc w:val="both"/>
        <w:rPr>
          <w:rFonts w:ascii="Tahoma" w:hAnsi="Tahoma" w:cs="Tahoma"/>
        </w:rPr>
      </w:pPr>
    </w:p>
    <w:p w:rsidR="00E54DDA" w:rsidRPr="00AB3B97" w:rsidRDefault="00CF7FF8" w:rsidP="006E6472">
      <w:pPr>
        <w:jc w:val="both"/>
        <w:rPr>
          <w:rFonts w:ascii="Tahoma" w:hAnsi="Tahoma" w:cs="Tahoma"/>
        </w:rPr>
      </w:pPr>
      <w:r w:rsidRPr="007B142D">
        <w:rPr>
          <w:rFonts w:ascii="Tahoma" w:hAnsi="Tahoma" w:cs="Tahoma"/>
        </w:rPr>
        <w:t xml:space="preserve">  </w:t>
      </w:r>
    </w:p>
    <w:p w:rsidR="008B636B" w:rsidRPr="00F82500" w:rsidRDefault="00F72829" w:rsidP="00C8169C">
      <w:pPr>
        <w:jc w:val="both"/>
        <w:rPr>
          <w:rFonts w:ascii="Arial" w:hAnsi="Arial" w:cs="Arial"/>
          <w:b/>
          <w:color w:val="00B050"/>
        </w:rPr>
      </w:pPr>
      <w:r w:rsidRPr="00F82500">
        <w:rPr>
          <w:rFonts w:ascii="Arial" w:hAnsi="Arial" w:cs="Arial"/>
          <w:b/>
          <w:color w:val="00B050"/>
          <w:u w:val="single"/>
        </w:rPr>
        <w:t>HEBDOMADAIRE</w:t>
      </w:r>
      <w:r w:rsidRPr="00F82500">
        <w:rPr>
          <w:rFonts w:ascii="Arial" w:hAnsi="Arial" w:cs="Arial"/>
          <w:b/>
          <w:color w:val="00B050"/>
        </w:rPr>
        <w:t xml:space="preserve"> : </w:t>
      </w:r>
      <w:r w:rsidR="00042BFD" w:rsidRPr="00F82500">
        <w:rPr>
          <w:rFonts w:ascii="Arial" w:hAnsi="Arial" w:cs="Arial"/>
          <w:b/>
          <w:color w:val="00B050"/>
        </w:rPr>
        <w:t>La probabilité de voir le taux revenir sur les bas récents de 3.05 sera importante tant que la résistance de 3.15 ne sera pas dépassée.</w:t>
      </w:r>
    </w:p>
    <w:p w:rsidR="0062108B" w:rsidRPr="00F82500" w:rsidRDefault="0062108B" w:rsidP="00C8169C">
      <w:pPr>
        <w:jc w:val="both"/>
        <w:rPr>
          <w:rFonts w:ascii="Arial" w:hAnsi="Arial" w:cs="Arial"/>
          <w:b/>
          <w:color w:val="00B050"/>
        </w:rPr>
      </w:pPr>
      <w:r w:rsidRPr="00F82500">
        <w:rPr>
          <w:rFonts w:ascii="Arial" w:hAnsi="Arial" w:cs="Arial"/>
          <w:b/>
          <w:color w:val="00B050"/>
        </w:rPr>
        <w:t>Entre 3.26 et 3.05 la consolidation sera privilégiée.</w:t>
      </w:r>
    </w:p>
    <w:p w:rsidR="00684F60" w:rsidRDefault="00684F60" w:rsidP="00C8169C">
      <w:pPr>
        <w:jc w:val="both"/>
        <w:rPr>
          <w:rFonts w:ascii="Arial" w:hAnsi="Arial" w:cs="Arial"/>
          <w:b/>
          <w:color w:val="00B050"/>
        </w:rPr>
      </w:pPr>
    </w:p>
    <w:p w:rsidR="00B23662" w:rsidRPr="00A85203" w:rsidRDefault="00B23662" w:rsidP="00C8169C">
      <w:pPr>
        <w:jc w:val="both"/>
        <w:rPr>
          <w:rFonts w:ascii="Arial" w:hAnsi="Arial" w:cs="Arial"/>
          <w:b/>
          <w:color w:val="00B050"/>
        </w:rPr>
      </w:pPr>
    </w:p>
    <w:p w:rsidR="00DC295E" w:rsidRPr="00AD7F6F" w:rsidRDefault="00DC295E" w:rsidP="00AD7F6F">
      <w:pPr>
        <w:jc w:val="both"/>
        <w:rPr>
          <w:rFonts w:ascii="Arial" w:eastAsia="Calibri" w:hAnsi="Arial" w:cs="Arial"/>
          <w:b/>
        </w:rPr>
      </w:pPr>
      <w:bookmarkStart w:id="2" w:name="_GoBack"/>
      <w:bookmarkEnd w:id="0"/>
      <w:bookmarkEnd w:id="2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A59">
          <w:rPr>
            <w:noProof/>
          </w:rPr>
          <w:t>2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4342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0A8B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29BE"/>
    <w:rsid w:val="00103D3B"/>
    <w:rsid w:val="00104E12"/>
    <w:rsid w:val="0010583E"/>
    <w:rsid w:val="00112363"/>
    <w:rsid w:val="00114CFE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5762"/>
    <w:rsid w:val="001562F5"/>
    <w:rsid w:val="0016468C"/>
    <w:rsid w:val="00164E23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900F2"/>
    <w:rsid w:val="001929A4"/>
    <w:rsid w:val="0019448F"/>
    <w:rsid w:val="0019471F"/>
    <w:rsid w:val="001949F6"/>
    <w:rsid w:val="00194BF8"/>
    <w:rsid w:val="001954B6"/>
    <w:rsid w:val="00196168"/>
    <w:rsid w:val="001A01D2"/>
    <w:rsid w:val="001A6D35"/>
    <w:rsid w:val="001A7163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4F7F"/>
    <w:rsid w:val="002000EA"/>
    <w:rsid w:val="00201C31"/>
    <w:rsid w:val="00203583"/>
    <w:rsid w:val="00206305"/>
    <w:rsid w:val="00206439"/>
    <w:rsid w:val="00206C2A"/>
    <w:rsid w:val="002078BB"/>
    <w:rsid w:val="00207928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81F6C"/>
    <w:rsid w:val="0028437B"/>
    <w:rsid w:val="0028603F"/>
    <w:rsid w:val="0029217A"/>
    <w:rsid w:val="00292AF0"/>
    <w:rsid w:val="00294B9B"/>
    <w:rsid w:val="002A2E2C"/>
    <w:rsid w:val="002A322F"/>
    <w:rsid w:val="002A3BA9"/>
    <w:rsid w:val="002A3CA4"/>
    <w:rsid w:val="002A46CF"/>
    <w:rsid w:val="002A634E"/>
    <w:rsid w:val="002A63D2"/>
    <w:rsid w:val="002B0A38"/>
    <w:rsid w:val="002B268E"/>
    <w:rsid w:val="002B4084"/>
    <w:rsid w:val="002B5AD8"/>
    <w:rsid w:val="002C101E"/>
    <w:rsid w:val="002C1ABF"/>
    <w:rsid w:val="002C2834"/>
    <w:rsid w:val="002C2DC2"/>
    <w:rsid w:val="002C3C75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7765A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1462"/>
    <w:rsid w:val="003C27DA"/>
    <w:rsid w:val="003C4EDA"/>
    <w:rsid w:val="003D08EB"/>
    <w:rsid w:val="003D41A5"/>
    <w:rsid w:val="003D663C"/>
    <w:rsid w:val="003E1B3F"/>
    <w:rsid w:val="003E5A71"/>
    <w:rsid w:val="003E749D"/>
    <w:rsid w:val="003F4023"/>
    <w:rsid w:val="003F42D2"/>
    <w:rsid w:val="003F502F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6A18"/>
    <w:rsid w:val="00447612"/>
    <w:rsid w:val="00447F13"/>
    <w:rsid w:val="00451C8C"/>
    <w:rsid w:val="00454022"/>
    <w:rsid w:val="00457643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1EE7"/>
    <w:rsid w:val="005224FA"/>
    <w:rsid w:val="0052288F"/>
    <w:rsid w:val="005240F6"/>
    <w:rsid w:val="0053209A"/>
    <w:rsid w:val="0054005C"/>
    <w:rsid w:val="0054194A"/>
    <w:rsid w:val="005428F6"/>
    <w:rsid w:val="00542FB4"/>
    <w:rsid w:val="0054379C"/>
    <w:rsid w:val="00545526"/>
    <w:rsid w:val="00545E40"/>
    <w:rsid w:val="005530C2"/>
    <w:rsid w:val="005600F6"/>
    <w:rsid w:val="005622FD"/>
    <w:rsid w:val="00562C92"/>
    <w:rsid w:val="0056304D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0045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12BDB"/>
    <w:rsid w:val="00612E2D"/>
    <w:rsid w:val="00613E70"/>
    <w:rsid w:val="00617226"/>
    <w:rsid w:val="00620D34"/>
    <w:rsid w:val="0062108B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4E87"/>
    <w:rsid w:val="00635070"/>
    <w:rsid w:val="006360F4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D3D0E"/>
    <w:rsid w:val="006D6654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8F2"/>
    <w:rsid w:val="00770199"/>
    <w:rsid w:val="0077185D"/>
    <w:rsid w:val="00772C5B"/>
    <w:rsid w:val="0077442B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3466"/>
    <w:rsid w:val="007A54EF"/>
    <w:rsid w:val="007A5656"/>
    <w:rsid w:val="007A5C06"/>
    <w:rsid w:val="007B142D"/>
    <w:rsid w:val="007B31F5"/>
    <w:rsid w:val="007B6865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A46"/>
    <w:rsid w:val="00802827"/>
    <w:rsid w:val="00802A87"/>
    <w:rsid w:val="00802E3A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30431"/>
    <w:rsid w:val="00830BBA"/>
    <w:rsid w:val="00831471"/>
    <w:rsid w:val="0083256A"/>
    <w:rsid w:val="008330D9"/>
    <w:rsid w:val="00833FC9"/>
    <w:rsid w:val="0083405F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636B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30CE7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5F8B"/>
    <w:rsid w:val="0095687C"/>
    <w:rsid w:val="00957245"/>
    <w:rsid w:val="0096003D"/>
    <w:rsid w:val="009601F4"/>
    <w:rsid w:val="00965B14"/>
    <w:rsid w:val="00970A24"/>
    <w:rsid w:val="0097505A"/>
    <w:rsid w:val="009751B4"/>
    <w:rsid w:val="0097639B"/>
    <w:rsid w:val="009779FA"/>
    <w:rsid w:val="00981A09"/>
    <w:rsid w:val="00984DC8"/>
    <w:rsid w:val="0098556B"/>
    <w:rsid w:val="009925DF"/>
    <w:rsid w:val="00992B49"/>
    <w:rsid w:val="00993FF1"/>
    <w:rsid w:val="00996367"/>
    <w:rsid w:val="00997475"/>
    <w:rsid w:val="009A0270"/>
    <w:rsid w:val="009A1149"/>
    <w:rsid w:val="009A1C33"/>
    <w:rsid w:val="009A3DAA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697F"/>
    <w:rsid w:val="00A0762B"/>
    <w:rsid w:val="00A079AF"/>
    <w:rsid w:val="00A15D2E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B13"/>
    <w:rsid w:val="00A44F87"/>
    <w:rsid w:val="00A46A47"/>
    <w:rsid w:val="00A472AD"/>
    <w:rsid w:val="00A477A2"/>
    <w:rsid w:val="00A50FFB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45F4"/>
    <w:rsid w:val="00AA580A"/>
    <w:rsid w:val="00AA59F4"/>
    <w:rsid w:val="00AA5C6E"/>
    <w:rsid w:val="00AA7942"/>
    <w:rsid w:val="00AB09C6"/>
    <w:rsid w:val="00AB15EA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E7685"/>
    <w:rsid w:val="00AF02FB"/>
    <w:rsid w:val="00AF12F3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6898"/>
    <w:rsid w:val="00B2134A"/>
    <w:rsid w:val="00B21362"/>
    <w:rsid w:val="00B215B0"/>
    <w:rsid w:val="00B22088"/>
    <w:rsid w:val="00B23041"/>
    <w:rsid w:val="00B23662"/>
    <w:rsid w:val="00B23A4D"/>
    <w:rsid w:val="00B23C18"/>
    <w:rsid w:val="00B25375"/>
    <w:rsid w:val="00B30D14"/>
    <w:rsid w:val="00B30DFC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52C8"/>
    <w:rsid w:val="00B76E25"/>
    <w:rsid w:val="00B776F2"/>
    <w:rsid w:val="00B81C31"/>
    <w:rsid w:val="00B82610"/>
    <w:rsid w:val="00B83D1C"/>
    <w:rsid w:val="00B83DFB"/>
    <w:rsid w:val="00B87258"/>
    <w:rsid w:val="00B90B86"/>
    <w:rsid w:val="00B90ECB"/>
    <w:rsid w:val="00B974C8"/>
    <w:rsid w:val="00BA0BAB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7AED"/>
    <w:rsid w:val="00C00748"/>
    <w:rsid w:val="00C014A3"/>
    <w:rsid w:val="00C0184E"/>
    <w:rsid w:val="00C02538"/>
    <w:rsid w:val="00C04489"/>
    <w:rsid w:val="00C07B96"/>
    <w:rsid w:val="00C12A71"/>
    <w:rsid w:val="00C15D90"/>
    <w:rsid w:val="00C17FD4"/>
    <w:rsid w:val="00C2005B"/>
    <w:rsid w:val="00C214FD"/>
    <w:rsid w:val="00C21649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87D28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6E6F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44F2"/>
    <w:rsid w:val="00E07347"/>
    <w:rsid w:val="00E11B6D"/>
    <w:rsid w:val="00E16413"/>
    <w:rsid w:val="00E16C54"/>
    <w:rsid w:val="00E2226C"/>
    <w:rsid w:val="00E22DFF"/>
    <w:rsid w:val="00E249A2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4B13"/>
    <w:rsid w:val="00E8505F"/>
    <w:rsid w:val="00E866B7"/>
    <w:rsid w:val="00E972B0"/>
    <w:rsid w:val="00E977CA"/>
    <w:rsid w:val="00E97A46"/>
    <w:rsid w:val="00EA035B"/>
    <w:rsid w:val="00EA525C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6109"/>
    <w:rsid w:val="00EC7CAE"/>
    <w:rsid w:val="00ED0482"/>
    <w:rsid w:val="00ED1495"/>
    <w:rsid w:val="00ED185D"/>
    <w:rsid w:val="00EE13D1"/>
    <w:rsid w:val="00EE3F61"/>
    <w:rsid w:val="00EE71A6"/>
    <w:rsid w:val="00EE7B57"/>
    <w:rsid w:val="00EE7F56"/>
    <w:rsid w:val="00EE7FC9"/>
    <w:rsid w:val="00EF447F"/>
    <w:rsid w:val="00EF5787"/>
    <w:rsid w:val="00F0241F"/>
    <w:rsid w:val="00F05CD8"/>
    <w:rsid w:val="00F06E5A"/>
    <w:rsid w:val="00F07D03"/>
    <w:rsid w:val="00F12F29"/>
    <w:rsid w:val="00F136E1"/>
    <w:rsid w:val="00F139AF"/>
    <w:rsid w:val="00F158EF"/>
    <w:rsid w:val="00F16B6C"/>
    <w:rsid w:val="00F17658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120"/>
    <w:rsid w:val="00F62AA8"/>
    <w:rsid w:val="00F63322"/>
    <w:rsid w:val="00F645AB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2484"/>
    <w:rsid w:val="00F82500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5E11"/>
    <w:rsid w:val="00FE01E5"/>
    <w:rsid w:val="00FE17F5"/>
    <w:rsid w:val="00FE1EB2"/>
    <w:rsid w:val="00FE30E6"/>
    <w:rsid w:val="00FE3BAD"/>
    <w:rsid w:val="00FE4A7A"/>
    <w:rsid w:val="00FE5C82"/>
    <w:rsid w:val="00FF09EF"/>
    <w:rsid w:val="00FF1052"/>
    <w:rsid w:val="00FF1FC8"/>
    <w:rsid w:val="00FF2354"/>
    <w:rsid w:val="00FF4A9E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."/>
  <w:listSeparator w:val=";"/>
  <w14:docId w14:val="53060911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4204C-8860-4391-B64F-35FAB6AAC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517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19</cp:revision>
  <cp:lastPrinted>2018-03-12T09:18:00Z</cp:lastPrinted>
  <dcterms:created xsi:type="dcterms:W3CDTF">2018-11-19T07:25:00Z</dcterms:created>
  <dcterms:modified xsi:type="dcterms:W3CDTF">2018-11-19T09:33:00Z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