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B83C0B" w:rsidRDefault="00B83C0B" w:rsidP="00C8169C">
      <w:pPr>
        <w:jc w:val="both"/>
        <w:rPr>
          <w:rFonts w:ascii="Arial" w:hAnsi="Arial" w:cs="Arial"/>
          <w:b/>
          <w:color w:val="00B050"/>
        </w:rPr>
      </w:pPr>
      <w:bookmarkStart w:id="0" w:name="_Hlk505587978"/>
      <w:bookmarkStart w:id="1" w:name="_GoBack"/>
      <w:bookmarkEnd w:id="1"/>
    </w:p>
    <w:p w:rsidR="00D80633" w:rsidRPr="00A85203" w:rsidRDefault="00D80633" w:rsidP="00C8169C">
      <w:pPr>
        <w:jc w:val="both"/>
        <w:rPr>
          <w:rFonts w:ascii="Arial" w:hAnsi="Arial" w:cs="Arial"/>
          <w:b/>
          <w:color w:val="00B050"/>
        </w:rPr>
      </w:pPr>
    </w:p>
    <w:p w:rsidR="00EB3109" w:rsidRPr="007B7E3C" w:rsidRDefault="00D43DAB" w:rsidP="00D43DAB">
      <w:pPr>
        <w:jc w:val="both"/>
        <w:rPr>
          <w:rFonts w:ascii="Arial" w:hAnsi="Arial" w:cs="Arial"/>
          <w:b/>
          <w:bCs/>
          <w:sz w:val="36"/>
          <w:szCs w:val="36"/>
          <w:u w:val="single"/>
          <w:lang w:val="en-US"/>
        </w:rPr>
      </w:pPr>
      <w:r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Pr="007B7E3C">
        <w:rPr>
          <w:rFonts w:ascii="Arial" w:hAnsi="Arial" w:cs="Arial"/>
          <w:b/>
          <w:bCs/>
          <w:sz w:val="36"/>
          <w:szCs w:val="36"/>
          <w:u w:val="single"/>
          <w:lang w:val="en-US"/>
        </w:rPr>
        <w:t xml:space="preserve">10 ans UK </w:t>
      </w:r>
    </w:p>
    <w:p w:rsidR="006E6472" w:rsidRPr="007B7E3C" w:rsidRDefault="006E6472" w:rsidP="006E6472">
      <w:pPr>
        <w:jc w:val="both"/>
        <w:rPr>
          <w:rFonts w:ascii="Arial" w:hAnsi="Arial" w:cs="Arial"/>
          <w:b/>
          <w:sz w:val="28"/>
          <w:szCs w:val="28"/>
          <w:u w:val="single"/>
          <w:lang w:val="en-US"/>
        </w:rPr>
      </w:pPr>
      <w:r w:rsidRPr="007B7E3C">
        <w:rPr>
          <w:rFonts w:ascii="Arial" w:hAnsi="Arial" w:cs="Arial"/>
          <w:b/>
          <w:sz w:val="28"/>
          <w:szCs w:val="28"/>
          <w:u w:val="single"/>
          <w:lang w:val="en-US"/>
        </w:rPr>
        <w:t>Monthly</w:t>
      </w:r>
    </w:p>
    <w:p w:rsidR="006E6472" w:rsidRPr="007B7E3C" w:rsidRDefault="00AF2AE4" w:rsidP="00B65AF1">
      <w:pPr>
        <w:ind w:left="-283"/>
        <w:jc w:val="both"/>
        <w:rPr>
          <w:rFonts w:ascii="Arial" w:hAnsi="Arial" w:cs="Arial"/>
          <w:b/>
          <w:bCs/>
          <w:lang w:val="en-US"/>
        </w:rPr>
      </w:pPr>
      <w:r w:rsidRPr="00AF2AE4">
        <w:rPr>
          <w:rFonts w:ascii="Arial" w:hAnsi="Arial" w:cs="Arial"/>
          <w:b/>
          <w:bCs/>
          <w:noProof/>
        </w:rPr>
        <w:drawing>
          <wp:inline distT="0" distB="0" distL="0" distR="0">
            <wp:extent cx="6645330" cy="4213860"/>
            <wp:effectExtent l="0" t="0" r="3175" b="0"/>
            <wp:docPr id="8" name="Image 8" descr="C:\Users\EPBFIA~1\AppData\Local\Temp\Bloomberg\temp\bfmB4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B4ED.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350" cy="4214507"/>
                    </a:xfrm>
                    <a:prstGeom prst="rect">
                      <a:avLst/>
                    </a:prstGeom>
                    <a:noFill/>
                    <a:ln>
                      <a:noFill/>
                    </a:ln>
                  </pic:spPr>
                </pic:pic>
              </a:graphicData>
            </a:graphic>
          </wp:inline>
        </w:drawing>
      </w:r>
    </w:p>
    <w:p w:rsidR="00D43DAB" w:rsidRPr="007B7E3C" w:rsidRDefault="00D43DAB" w:rsidP="00D43DAB">
      <w:pPr>
        <w:jc w:val="both"/>
        <w:rPr>
          <w:rFonts w:ascii="Arial" w:hAnsi="Arial" w:cs="Arial"/>
          <w:b/>
          <w:bCs/>
          <w:sz w:val="28"/>
          <w:szCs w:val="28"/>
          <w:u w:val="single"/>
          <w:lang w:val="en-US"/>
        </w:rPr>
      </w:pPr>
      <w:r w:rsidRPr="007B7E3C">
        <w:rPr>
          <w:rFonts w:ascii="Arial" w:hAnsi="Arial" w:cs="Arial"/>
          <w:b/>
          <w:bCs/>
          <w:sz w:val="28"/>
          <w:szCs w:val="28"/>
          <w:u w:val="single"/>
          <w:lang w:val="en-US"/>
        </w:rPr>
        <w:t>Weekly</w:t>
      </w:r>
    </w:p>
    <w:p w:rsidR="00D43DAB" w:rsidRPr="007B7E3C" w:rsidRDefault="00AF2AE4" w:rsidP="00B65AF1">
      <w:pPr>
        <w:tabs>
          <w:tab w:val="left" w:pos="4395"/>
        </w:tabs>
        <w:ind w:left="-283"/>
        <w:jc w:val="both"/>
        <w:rPr>
          <w:rFonts w:ascii="Arial" w:hAnsi="Arial" w:cs="Arial"/>
          <w:b/>
          <w:bCs/>
          <w:sz w:val="28"/>
          <w:szCs w:val="28"/>
          <w:u w:val="single"/>
          <w:lang w:val="en-US"/>
        </w:rPr>
      </w:pPr>
      <w:r w:rsidRPr="00AF2AE4">
        <w:rPr>
          <w:rFonts w:ascii="Arial" w:hAnsi="Arial" w:cs="Arial"/>
          <w:b/>
          <w:bCs/>
          <w:noProof/>
          <w:sz w:val="28"/>
          <w:szCs w:val="28"/>
          <w:u w:val="single"/>
        </w:rPr>
        <w:lastRenderedPageBreak/>
        <w:drawing>
          <wp:inline distT="0" distB="0" distL="0" distR="0">
            <wp:extent cx="6645275" cy="4404360"/>
            <wp:effectExtent l="0" t="0" r="3175" b="0"/>
            <wp:docPr id="9" name="Image 9" descr="C:\Users\EPBFIA~1\AppData\Local\Temp\Bloomberg\temp\bfm77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77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076" cy="4404891"/>
                    </a:xfrm>
                    <a:prstGeom prst="rect">
                      <a:avLst/>
                    </a:prstGeom>
                    <a:noFill/>
                    <a:ln>
                      <a:noFill/>
                    </a:ln>
                  </pic:spPr>
                </pic:pic>
              </a:graphicData>
            </a:graphic>
          </wp:inline>
        </w:drawing>
      </w:r>
    </w:p>
    <w:p w:rsidR="006E6472" w:rsidRPr="007B7E3C" w:rsidRDefault="006E6472" w:rsidP="006E6472">
      <w:pPr>
        <w:jc w:val="both"/>
        <w:rPr>
          <w:rFonts w:ascii="Arial" w:hAnsi="Arial" w:cs="Arial"/>
          <w:b/>
          <w:bCs/>
          <w:sz w:val="28"/>
          <w:szCs w:val="28"/>
          <w:u w:val="single"/>
          <w:lang w:val="en-US"/>
        </w:rPr>
      </w:pPr>
      <w:r w:rsidRPr="007B7E3C">
        <w:rPr>
          <w:rFonts w:ascii="Arial" w:hAnsi="Arial" w:cs="Arial"/>
          <w:b/>
          <w:bCs/>
          <w:sz w:val="28"/>
          <w:szCs w:val="28"/>
          <w:u w:val="single"/>
          <w:lang w:val="en-US"/>
        </w:rPr>
        <w:t xml:space="preserve">Daily </w:t>
      </w:r>
    </w:p>
    <w:p w:rsidR="00F5086A" w:rsidRPr="002658AF" w:rsidRDefault="00AF2AE4" w:rsidP="006E6472">
      <w:pPr>
        <w:jc w:val="both"/>
        <w:rPr>
          <w:rFonts w:ascii="Arial" w:hAnsi="Arial" w:cs="Arial"/>
          <w:b/>
          <w:bCs/>
          <w:sz w:val="28"/>
          <w:szCs w:val="28"/>
          <w:u w:val="single"/>
          <w:lang w:val="en-US"/>
        </w:rPr>
      </w:pPr>
      <w:r w:rsidRPr="00AF2AE4">
        <w:rPr>
          <w:rFonts w:ascii="Arial" w:hAnsi="Arial" w:cs="Arial"/>
          <w:b/>
          <w:bCs/>
          <w:noProof/>
          <w:sz w:val="28"/>
          <w:szCs w:val="28"/>
          <w:u w:val="single"/>
        </w:rPr>
        <w:drawing>
          <wp:inline distT="0" distB="0" distL="0" distR="0">
            <wp:extent cx="6645330" cy="4297680"/>
            <wp:effectExtent l="0" t="0" r="3175" b="7620"/>
            <wp:docPr id="10" name="Image 10" descr="C:\Users\EPBFIA~1\AppData\Local\Temp\Bloomberg\temp\bfm9AB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9ABD.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130" cy="4298197"/>
                    </a:xfrm>
                    <a:prstGeom prst="rect">
                      <a:avLst/>
                    </a:prstGeom>
                    <a:noFill/>
                    <a:ln>
                      <a:noFill/>
                    </a:ln>
                  </pic:spPr>
                </pic:pic>
              </a:graphicData>
            </a:graphic>
          </wp:inline>
        </w:drawing>
      </w:r>
    </w:p>
    <w:p w:rsidR="00F5086A" w:rsidRPr="005258D6" w:rsidRDefault="00F5086A" w:rsidP="006E6472">
      <w:pPr>
        <w:jc w:val="both"/>
        <w:rPr>
          <w:rFonts w:ascii="Arial" w:hAnsi="Arial" w:cs="Arial"/>
          <w:b/>
          <w:bCs/>
          <w:sz w:val="28"/>
          <w:szCs w:val="28"/>
          <w:u w:val="single"/>
        </w:rPr>
      </w:pPr>
    </w:p>
    <w:p w:rsidR="00206439" w:rsidRDefault="005530C2" w:rsidP="00847162">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38454B">
        <w:rPr>
          <w:rFonts w:ascii="Tahoma" w:hAnsi="Tahoma" w:cs="Tahoma"/>
          <w:bCs/>
        </w:rPr>
        <w:t>Le nuage de long terme représente une zone d’équilibre comprise entre 1.79 et 1.27.</w:t>
      </w:r>
    </w:p>
    <w:p w:rsidR="00A2091D" w:rsidRDefault="00A2091D" w:rsidP="00847162">
      <w:pPr>
        <w:jc w:val="both"/>
        <w:rPr>
          <w:rFonts w:ascii="Tahoma" w:hAnsi="Tahoma" w:cs="Tahoma"/>
          <w:bCs/>
        </w:rPr>
      </w:pPr>
      <w:r>
        <w:rPr>
          <w:rFonts w:ascii="Tahoma" w:hAnsi="Tahoma" w:cs="Tahoma"/>
          <w:bCs/>
        </w:rPr>
        <w:lastRenderedPageBreak/>
        <w:t>Les dépassement</w:t>
      </w:r>
      <w:r w:rsidR="008918D6">
        <w:rPr>
          <w:rFonts w:ascii="Tahoma" w:hAnsi="Tahoma" w:cs="Tahoma"/>
          <w:bCs/>
        </w:rPr>
        <w:t>s</w:t>
      </w:r>
      <w:r>
        <w:rPr>
          <w:rFonts w:ascii="Tahoma" w:hAnsi="Tahoma" w:cs="Tahoma"/>
          <w:bCs/>
        </w:rPr>
        <w:t xml:space="preserve"> de 1.27 </w:t>
      </w:r>
      <w:r w:rsidR="00EA78A3">
        <w:rPr>
          <w:rFonts w:ascii="Tahoma" w:hAnsi="Tahoma" w:cs="Tahoma"/>
          <w:bCs/>
        </w:rPr>
        <w:t xml:space="preserve">au cours du mois de décembre, </w:t>
      </w:r>
      <w:r>
        <w:rPr>
          <w:rFonts w:ascii="Tahoma" w:hAnsi="Tahoma" w:cs="Tahoma"/>
          <w:bCs/>
        </w:rPr>
        <w:t>permettront d’envisager des baisses limitées dans un premier temps au support de 1.10.</w:t>
      </w:r>
    </w:p>
    <w:p w:rsidR="00206439" w:rsidRPr="00B52897" w:rsidRDefault="00206439" w:rsidP="00955F8B">
      <w:pPr>
        <w:jc w:val="both"/>
        <w:rPr>
          <w:rFonts w:ascii="Tahoma" w:hAnsi="Tahoma" w:cs="Tahoma"/>
          <w:bCs/>
        </w:rPr>
      </w:pPr>
    </w:p>
    <w:p w:rsidR="00E1265D" w:rsidRPr="005F0764" w:rsidRDefault="00134724" w:rsidP="002C4B3C">
      <w:pPr>
        <w:jc w:val="both"/>
        <w:rPr>
          <w:rFonts w:ascii="Tahoma" w:hAnsi="Tahoma" w:cs="Tahoma"/>
          <w:bCs/>
        </w:rPr>
      </w:pPr>
      <w:r w:rsidRPr="00F950A8">
        <w:rPr>
          <w:rFonts w:ascii="Arial" w:hAnsi="Arial" w:cs="Arial"/>
          <w:b/>
          <w:bCs/>
        </w:rPr>
        <w:t xml:space="preserve">W : </w:t>
      </w:r>
      <w:r w:rsidR="005F0764">
        <w:rPr>
          <w:rFonts w:ascii="Arial" w:hAnsi="Arial" w:cs="Arial"/>
          <w:bCs/>
        </w:rPr>
        <w:t xml:space="preserve">La borne basse du nuage du taux est matérialisée par un plat sur 1.32.  Ce point servira dorénavant de résistance. La LS devra s’affranchir de son nuage, plat sur 1.22. Ce ne sera qu’après une cassure </w:t>
      </w:r>
      <w:r w:rsidR="00C32E33">
        <w:rPr>
          <w:rFonts w:ascii="Arial" w:hAnsi="Arial" w:cs="Arial"/>
          <w:bCs/>
        </w:rPr>
        <w:t>W</w:t>
      </w:r>
      <w:r w:rsidR="005F0764">
        <w:rPr>
          <w:rFonts w:ascii="Arial" w:hAnsi="Arial" w:cs="Arial"/>
          <w:bCs/>
        </w:rPr>
        <w:t>eekly de 1.22 que l’on pourra envisager l’objectif technique de 1.10.</w:t>
      </w:r>
    </w:p>
    <w:p w:rsidR="00592CE7" w:rsidRPr="00E6336C" w:rsidRDefault="00592CE7" w:rsidP="00134724">
      <w:pPr>
        <w:jc w:val="both"/>
        <w:rPr>
          <w:rFonts w:ascii="Tahoma" w:hAnsi="Tahoma" w:cs="Tahoma"/>
          <w:bCs/>
        </w:rPr>
      </w:pPr>
    </w:p>
    <w:p w:rsidR="009A7CC8" w:rsidRPr="00E72900" w:rsidRDefault="00591EF8" w:rsidP="002C4B3C">
      <w:pPr>
        <w:jc w:val="both"/>
        <w:rPr>
          <w:rFonts w:ascii="Tahoma" w:hAnsi="Tahoma" w:cs="Tahoma"/>
          <w:bCs/>
        </w:rPr>
      </w:pPr>
      <w:r>
        <w:rPr>
          <w:rFonts w:ascii="Arial" w:hAnsi="Arial" w:cs="Arial"/>
          <w:b/>
          <w:bCs/>
        </w:rPr>
        <w:t xml:space="preserve">D : </w:t>
      </w:r>
      <w:r w:rsidR="00E72900">
        <w:rPr>
          <w:rFonts w:ascii="Arial" w:hAnsi="Arial" w:cs="Arial"/>
          <w:bCs/>
        </w:rPr>
        <w:t xml:space="preserve">Taux et LS évoluent dans un environnement baissier sur le court terme. Après un bas à 1.15, le marché a rebondi pour revenir sur sa TS. Le 10 ans UK évolue autour de </w:t>
      </w:r>
      <w:r w:rsidR="00C32E33">
        <w:rPr>
          <w:rFonts w:ascii="Arial" w:hAnsi="Arial" w:cs="Arial"/>
          <w:bCs/>
        </w:rPr>
        <w:t>cette courbe ce qui traduit une certaine stabilité de la dynamique de baisse</w:t>
      </w:r>
      <w:r w:rsidR="00E72900">
        <w:rPr>
          <w:rFonts w:ascii="Arial" w:hAnsi="Arial" w:cs="Arial"/>
          <w:bCs/>
        </w:rPr>
        <w:t>. En rupture, l</w:t>
      </w:r>
      <w:r w:rsidR="00C32E33">
        <w:rPr>
          <w:rFonts w:ascii="Arial" w:hAnsi="Arial" w:cs="Arial"/>
          <w:bCs/>
        </w:rPr>
        <w:t>e taux sera attiré par la</w:t>
      </w:r>
      <w:r w:rsidR="00E72900">
        <w:rPr>
          <w:rFonts w:ascii="Arial" w:hAnsi="Arial" w:cs="Arial"/>
          <w:bCs/>
        </w:rPr>
        <w:t xml:space="preserve"> KS </w:t>
      </w:r>
      <w:r w:rsidR="00C32E33">
        <w:rPr>
          <w:rFonts w:ascii="Arial" w:hAnsi="Arial" w:cs="Arial"/>
          <w:bCs/>
        </w:rPr>
        <w:t xml:space="preserve">qui </w:t>
      </w:r>
      <w:r w:rsidR="00E72900">
        <w:rPr>
          <w:rFonts w:ascii="Arial" w:hAnsi="Arial" w:cs="Arial"/>
          <w:bCs/>
        </w:rPr>
        <w:t xml:space="preserve">servira de résistance. </w:t>
      </w:r>
      <w:r w:rsidR="00284863">
        <w:rPr>
          <w:rFonts w:ascii="Arial" w:hAnsi="Arial" w:cs="Arial"/>
          <w:bCs/>
        </w:rPr>
        <w:t>Au</w:t>
      </w:r>
      <w:r w:rsidR="008B5D81">
        <w:rPr>
          <w:rFonts w:ascii="Arial" w:hAnsi="Arial" w:cs="Arial"/>
          <w:bCs/>
        </w:rPr>
        <w:t>-dessus</w:t>
      </w:r>
      <w:r w:rsidR="00E72900">
        <w:rPr>
          <w:rFonts w:ascii="Arial" w:hAnsi="Arial" w:cs="Arial"/>
          <w:bCs/>
        </w:rPr>
        <w:t xml:space="preserve"> de 1.15, elle baissera progressivement, passant de 1.33 à </w:t>
      </w:r>
      <w:r w:rsidR="00284863">
        <w:rPr>
          <w:rFonts w:ascii="Arial" w:hAnsi="Arial" w:cs="Arial"/>
          <w:bCs/>
        </w:rPr>
        <w:t>1.30 sur</w:t>
      </w:r>
      <w:r w:rsidR="00E72900">
        <w:rPr>
          <w:rFonts w:ascii="Arial" w:hAnsi="Arial" w:cs="Arial"/>
          <w:bCs/>
        </w:rPr>
        <w:t xml:space="preserve"> la semaine.</w:t>
      </w:r>
    </w:p>
    <w:p w:rsidR="00B90B86" w:rsidRDefault="00B90B86" w:rsidP="00EB112D">
      <w:pPr>
        <w:jc w:val="both"/>
        <w:rPr>
          <w:rFonts w:ascii="Tahoma" w:hAnsi="Tahoma" w:cs="Tahoma"/>
          <w:bCs/>
        </w:rPr>
      </w:pPr>
    </w:p>
    <w:p w:rsidR="00E6550D" w:rsidRPr="00C955D5" w:rsidRDefault="00E6550D" w:rsidP="005530C2">
      <w:pPr>
        <w:jc w:val="both"/>
        <w:rPr>
          <w:rFonts w:ascii="Arial" w:hAnsi="Arial" w:cs="Arial"/>
          <w:color w:val="FF0000"/>
        </w:rPr>
      </w:pPr>
    </w:p>
    <w:p w:rsidR="00990006" w:rsidRPr="008B5D81" w:rsidRDefault="005530C2" w:rsidP="008B5D81">
      <w:pPr>
        <w:jc w:val="both"/>
        <w:rPr>
          <w:rFonts w:ascii="Arial" w:hAnsi="Arial" w:cs="Arial"/>
          <w:b/>
          <w:color w:val="00B050"/>
        </w:rPr>
      </w:pPr>
      <w:r w:rsidRPr="008B5D81">
        <w:rPr>
          <w:rFonts w:ascii="Arial" w:hAnsi="Arial" w:cs="Arial"/>
          <w:b/>
          <w:color w:val="00B050"/>
          <w:u w:val="single"/>
        </w:rPr>
        <w:t>HEBDOMADAIRE</w:t>
      </w:r>
      <w:r w:rsidR="00B124E0" w:rsidRPr="008B5D81">
        <w:rPr>
          <w:rFonts w:ascii="Arial" w:hAnsi="Arial" w:cs="Arial"/>
          <w:b/>
          <w:color w:val="00B050"/>
        </w:rPr>
        <w:t xml:space="preserve"> : </w:t>
      </w:r>
      <w:r w:rsidR="00197EFA">
        <w:rPr>
          <w:rFonts w:ascii="Arial" w:hAnsi="Arial" w:cs="Arial"/>
          <w:b/>
          <w:color w:val="00B050"/>
        </w:rPr>
        <w:t>L</w:t>
      </w:r>
      <w:r w:rsidR="008B5D81" w:rsidRPr="008B5D81">
        <w:rPr>
          <w:rFonts w:ascii="Arial" w:hAnsi="Arial" w:cs="Arial"/>
          <w:b/>
          <w:color w:val="00B050"/>
        </w:rPr>
        <w:t xml:space="preserve">’environnement baissier </w:t>
      </w:r>
      <w:r w:rsidR="00BB3606">
        <w:rPr>
          <w:rFonts w:ascii="Arial" w:hAnsi="Arial" w:cs="Arial"/>
          <w:b/>
          <w:color w:val="00B050"/>
        </w:rPr>
        <w:t>est confirmé</w:t>
      </w:r>
      <w:r w:rsidR="008B5D81" w:rsidRPr="008B5D81">
        <w:rPr>
          <w:rFonts w:ascii="Arial" w:hAnsi="Arial" w:cs="Arial"/>
          <w:b/>
          <w:color w:val="00B050"/>
        </w:rPr>
        <w:t xml:space="preserve"> sur le court terme. Sur cette unité de temps, après un plus bas à 1.15, le marché a rebondi. Sous 1.32, la baisse restera favorisée. Une cassure et un maintien du marché sous 1.22 seront </w:t>
      </w:r>
      <w:r w:rsidR="00284863" w:rsidRPr="008B5D81">
        <w:rPr>
          <w:rFonts w:ascii="Arial" w:hAnsi="Arial" w:cs="Arial"/>
          <w:b/>
          <w:color w:val="00B050"/>
        </w:rPr>
        <w:t>nécessaires</w:t>
      </w:r>
      <w:r w:rsidR="008B5D81" w:rsidRPr="008B5D81">
        <w:rPr>
          <w:rFonts w:ascii="Arial" w:hAnsi="Arial" w:cs="Arial"/>
          <w:b/>
          <w:color w:val="00B050"/>
        </w:rPr>
        <w:t xml:space="preserve"> pour envisager une poursuite de la baisse sur 1.10. </w:t>
      </w:r>
    </w:p>
    <w:p w:rsidR="00A079AF" w:rsidRPr="002C4B3C" w:rsidRDefault="00A079AF" w:rsidP="00BE257A">
      <w:pPr>
        <w:jc w:val="both"/>
        <w:rPr>
          <w:rFonts w:ascii="Arial" w:hAnsi="Arial" w:cs="Arial"/>
          <w:b/>
          <w:color w:val="FF0000"/>
        </w:rPr>
      </w:pPr>
    </w:p>
    <w:p w:rsidR="00E81EBB" w:rsidRDefault="00E81EBB" w:rsidP="00BE257A">
      <w:pPr>
        <w:jc w:val="both"/>
        <w:rPr>
          <w:rFonts w:ascii="Arial" w:hAnsi="Arial" w:cs="Arial"/>
          <w:b/>
          <w:color w:val="00B050"/>
        </w:rPr>
      </w:pPr>
    </w:p>
    <w:p w:rsidR="002658AF" w:rsidRDefault="002658AF" w:rsidP="00BE257A">
      <w:pPr>
        <w:jc w:val="both"/>
        <w:rPr>
          <w:rFonts w:ascii="Arial" w:hAnsi="Arial" w:cs="Arial"/>
          <w:b/>
          <w:color w:val="00B050"/>
        </w:rPr>
      </w:pPr>
    </w:p>
    <w:p w:rsidR="002658AF" w:rsidRDefault="002658AF" w:rsidP="00BE257A">
      <w:pPr>
        <w:jc w:val="both"/>
        <w:rPr>
          <w:rFonts w:ascii="Arial" w:hAnsi="Arial" w:cs="Arial"/>
          <w:b/>
          <w:color w:val="00B050"/>
        </w:rPr>
      </w:pPr>
    </w:p>
    <w:p w:rsidR="002658AF" w:rsidRDefault="002658AF" w:rsidP="00BE257A">
      <w:pPr>
        <w:jc w:val="both"/>
        <w:rPr>
          <w:rFonts w:ascii="Arial" w:hAnsi="Arial" w:cs="Arial"/>
          <w:b/>
          <w:color w:val="00B050"/>
        </w:rPr>
      </w:pPr>
    </w:p>
    <w:p w:rsidR="002658AF" w:rsidRDefault="002658AF" w:rsidP="00BE257A">
      <w:pPr>
        <w:jc w:val="both"/>
        <w:rPr>
          <w:rFonts w:ascii="Arial" w:hAnsi="Arial" w:cs="Arial"/>
          <w:b/>
          <w:color w:val="00B050"/>
        </w:rPr>
      </w:pPr>
    </w:p>
    <w:p w:rsidR="00E91CB0" w:rsidRDefault="00E91CB0" w:rsidP="00BE257A">
      <w:pPr>
        <w:jc w:val="both"/>
        <w:rPr>
          <w:rFonts w:ascii="Arial" w:hAnsi="Arial" w:cs="Arial"/>
          <w:b/>
          <w:color w:val="00B0F0"/>
        </w:rPr>
      </w:pPr>
    </w:p>
    <w:p w:rsidR="00F72829" w:rsidRPr="007B7E3C" w:rsidRDefault="00F72829" w:rsidP="00BE257A">
      <w:pPr>
        <w:jc w:val="both"/>
        <w:rPr>
          <w:rFonts w:ascii="Arial" w:hAnsi="Arial" w:cs="Arial"/>
          <w:b/>
          <w:bCs/>
          <w:sz w:val="36"/>
          <w:szCs w:val="36"/>
          <w:u w:val="single"/>
          <w:lang w:val="en-US"/>
        </w:rPr>
      </w:pPr>
      <w:r w:rsidRPr="00A31477">
        <w:rPr>
          <w:rFonts w:ascii="Arial" w:hAnsi="Arial" w:cs="Arial"/>
          <w:b/>
          <w:bCs/>
          <w:color w:val="FF0000"/>
          <w:sz w:val="28"/>
          <w:szCs w:val="28"/>
        </w:rPr>
        <w:t xml:space="preserve">                         </w:t>
      </w:r>
      <w:r w:rsidR="006D7DCD" w:rsidRPr="00A31477">
        <w:rPr>
          <w:rFonts w:ascii="Arial" w:hAnsi="Arial" w:cs="Arial"/>
          <w:b/>
          <w:bCs/>
          <w:color w:val="FF0000"/>
          <w:sz w:val="28"/>
          <w:szCs w:val="28"/>
        </w:rPr>
        <w:t xml:space="preserve">         </w:t>
      </w:r>
      <w:r w:rsidR="00730480">
        <w:rPr>
          <w:rFonts w:ascii="Arial" w:hAnsi="Arial" w:cs="Arial"/>
          <w:bCs/>
          <w:color w:val="FF0000"/>
          <w:sz w:val="28"/>
          <w:szCs w:val="28"/>
        </w:rPr>
        <w:t xml:space="preserve">            </w:t>
      </w:r>
      <w:r w:rsidRPr="007B7E3C">
        <w:rPr>
          <w:rFonts w:ascii="Arial" w:hAnsi="Arial" w:cs="Arial"/>
          <w:b/>
          <w:bCs/>
          <w:sz w:val="36"/>
          <w:szCs w:val="36"/>
          <w:u w:val="single"/>
          <w:lang w:val="en-US"/>
        </w:rPr>
        <w:t xml:space="preserve">10 ans </w:t>
      </w:r>
      <w:r w:rsidR="00A2391D" w:rsidRPr="007B7E3C">
        <w:rPr>
          <w:rFonts w:ascii="Arial" w:hAnsi="Arial" w:cs="Arial"/>
          <w:b/>
          <w:bCs/>
          <w:sz w:val="36"/>
          <w:szCs w:val="36"/>
          <w:u w:val="single"/>
          <w:lang w:val="en-US"/>
        </w:rPr>
        <w:t>JP</w:t>
      </w:r>
      <w:r w:rsidRPr="007B7E3C">
        <w:rPr>
          <w:rFonts w:ascii="Arial" w:hAnsi="Arial" w:cs="Arial"/>
          <w:b/>
          <w:bCs/>
          <w:sz w:val="36"/>
          <w:szCs w:val="36"/>
          <w:u w:val="single"/>
          <w:lang w:val="en-US"/>
        </w:rPr>
        <w:t xml:space="preserve"> </w:t>
      </w:r>
      <w:r w:rsidRPr="007B7E3C">
        <w:rPr>
          <w:rFonts w:ascii="Arial" w:hAnsi="Arial" w:cs="Arial"/>
          <w:b/>
          <w:i/>
          <w:lang w:val="en-US"/>
        </w:rPr>
        <w:t xml:space="preserve">                             </w:t>
      </w:r>
    </w:p>
    <w:p w:rsidR="008F1539" w:rsidRPr="007B7E3C" w:rsidRDefault="008F1539" w:rsidP="008F1539">
      <w:pPr>
        <w:jc w:val="both"/>
        <w:rPr>
          <w:rFonts w:ascii="Arial" w:hAnsi="Arial" w:cs="Arial"/>
          <w:b/>
          <w:bCs/>
          <w:sz w:val="28"/>
          <w:szCs w:val="28"/>
          <w:u w:val="single"/>
          <w:lang w:val="en-US"/>
        </w:rPr>
      </w:pPr>
      <w:r w:rsidRPr="007B7E3C">
        <w:rPr>
          <w:rFonts w:ascii="Arial" w:hAnsi="Arial" w:cs="Arial"/>
          <w:b/>
          <w:bCs/>
          <w:sz w:val="28"/>
          <w:szCs w:val="28"/>
          <w:u w:val="single"/>
          <w:lang w:val="en-US"/>
        </w:rPr>
        <w:t>Monthly</w:t>
      </w:r>
    </w:p>
    <w:p w:rsidR="00F72829" w:rsidRPr="007B7E3C" w:rsidRDefault="008D4909" w:rsidP="00B65AF1">
      <w:pPr>
        <w:ind w:left="-283"/>
        <w:jc w:val="both"/>
        <w:rPr>
          <w:rFonts w:ascii="Arial" w:hAnsi="Arial" w:cs="Arial"/>
          <w:b/>
          <w:bCs/>
          <w:color w:val="FF0000"/>
          <w:sz w:val="28"/>
          <w:szCs w:val="28"/>
          <w:u w:val="single"/>
          <w:lang w:val="en-US"/>
        </w:rPr>
      </w:pPr>
      <w:r w:rsidRPr="008D4909">
        <w:rPr>
          <w:rFonts w:ascii="Arial" w:hAnsi="Arial" w:cs="Arial"/>
          <w:b/>
          <w:bCs/>
          <w:noProof/>
          <w:color w:val="FF0000"/>
          <w:sz w:val="28"/>
          <w:szCs w:val="28"/>
          <w:u w:val="single"/>
        </w:rPr>
        <w:lastRenderedPageBreak/>
        <w:drawing>
          <wp:inline distT="0" distB="0" distL="0" distR="0">
            <wp:extent cx="6645330" cy="4282440"/>
            <wp:effectExtent l="0" t="0" r="3175" b="3810"/>
            <wp:docPr id="11" name="Image 11" descr="C:\Users\EPBFIA~1\AppData\Local\Temp\Bloomberg\temp\bfm456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4567.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15" cy="4283204"/>
                    </a:xfrm>
                    <a:prstGeom prst="rect">
                      <a:avLst/>
                    </a:prstGeom>
                    <a:noFill/>
                    <a:ln>
                      <a:noFill/>
                    </a:ln>
                  </pic:spPr>
                </pic:pic>
              </a:graphicData>
            </a:graphic>
          </wp:inline>
        </w:drawing>
      </w:r>
    </w:p>
    <w:p w:rsidR="00F72829" w:rsidRPr="007B7E3C" w:rsidRDefault="00F72829" w:rsidP="00F72829">
      <w:pPr>
        <w:jc w:val="both"/>
        <w:rPr>
          <w:rFonts w:ascii="Arial" w:hAnsi="Arial" w:cs="Arial"/>
          <w:b/>
          <w:bCs/>
          <w:sz w:val="28"/>
          <w:szCs w:val="28"/>
          <w:u w:val="single"/>
          <w:lang w:val="en-US"/>
        </w:rPr>
      </w:pPr>
      <w:r w:rsidRPr="007B7E3C">
        <w:rPr>
          <w:rFonts w:ascii="Arial" w:hAnsi="Arial" w:cs="Arial"/>
          <w:b/>
          <w:bCs/>
          <w:sz w:val="28"/>
          <w:szCs w:val="28"/>
          <w:u w:val="single"/>
          <w:lang w:val="en-US"/>
        </w:rPr>
        <w:t>Weekly</w:t>
      </w:r>
    </w:p>
    <w:p w:rsidR="008F1539" w:rsidRPr="007B7E3C" w:rsidRDefault="008D4909" w:rsidP="00B65AF1">
      <w:pPr>
        <w:autoSpaceDE w:val="0"/>
        <w:autoSpaceDN w:val="0"/>
        <w:adjustRightInd w:val="0"/>
        <w:ind w:left="-283"/>
        <w:jc w:val="both"/>
        <w:rPr>
          <w:rFonts w:ascii="Arial" w:hAnsi="Arial" w:cs="Arial"/>
          <w:lang w:val="en-US"/>
        </w:rPr>
      </w:pPr>
      <w:r w:rsidRPr="008D4909">
        <w:rPr>
          <w:rFonts w:ascii="Arial" w:hAnsi="Arial" w:cs="Arial"/>
          <w:noProof/>
        </w:rPr>
        <w:drawing>
          <wp:inline distT="0" distB="0" distL="0" distR="0">
            <wp:extent cx="6645330" cy="4419600"/>
            <wp:effectExtent l="0" t="0" r="3175" b="0"/>
            <wp:docPr id="12" name="Image 12" descr="C:\Users\EPBFIA~1\AppData\Local\Temp\Bloomberg\temp\bfmA49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A49F.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130" cy="4420132"/>
                    </a:xfrm>
                    <a:prstGeom prst="rect">
                      <a:avLst/>
                    </a:prstGeom>
                    <a:noFill/>
                    <a:ln>
                      <a:noFill/>
                    </a:ln>
                  </pic:spPr>
                </pic:pic>
              </a:graphicData>
            </a:graphic>
          </wp:inline>
        </w:drawing>
      </w:r>
    </w:p>
    <w:p w:rsidR="00A404A8" w:rsidRPr="007B7E3C" w:rsidRDefault="00A404A8" w:rsidP="00B65AF1">
      <w:pPr>
        <w:autoSpaceDE w:val="0"/>
        <w:autoSpaceDN w:val="0"/>
        <w:adjustRightInd w:val="0"/>
        <w:ind w:left="-283"/>
        <w:jc w:val="both"/>
        <w:rPr>
          <w:rFonts w:ascii="Arial" w:hAnsi="Arial" w:cs="Arial"/>
          <w:lang w:val="en-US"/>
        </w:rPr>
      </w:pPr>
    </w:p>
    <w:p w:rsidR="00ED1495" w:rsidRPr="00E81EBB" w:rsidRDefault="00AB09C6" w:rsidP="00E81EBB">
      <w:pPr>
        <w:autoSpaceDE w:val="0"/>
        <w:autoSpaceDN w:val="0"/>
        <w:adjustRightInd w:val="0"/>
        <w:ind w:left="-850"/>
        <w:jc w:val="both"/>
        <w:rPr>
          <w:rFonts w:ascii="Arial" w:hAnsi="Arial" w:cs="Arial"/>
          <w:b/>
          <w:bCs/>
          <w:sz w:val="28"/>
          <w:szCs w:val="28"/>
          <w:u w:val="single"/>
          <w:lang w:val="en-US"/>
        </w:rPr>
      </w:pPr>
      <w:r w:rsidRPr="007B7E3C">
        <w:rPr>
          <w:rFonts w:ascii="Arial" w:hAnsi="Arial" w:cs="Arial"/>
          <w:b/>
          <w:bCs/>
          <w:sz w:val="28"/>
          <w:szCs w:val="28"/>
          <w:lang w:val="en-US"/>
        </w:rPr>
        <w:lastRenderedPageBreak/>
        <w:t xml:space="preserve">           </w:t>
      </w:r>
      <w:r w:rsidR="008F1539" w:rsidRPr="007B7E3C">
        <w:rPr>
          <w:rFonts w:ascii="Arial" w:hAnsi="Arial" w:cs="Arial"/>
          <w:b/>
          <w:bCs/>
          <w:sz w:val="28"/>
          <w:szCs w:val="28"/>
          <w:u w:val="single"/>
          <w:lang w:val="en-US"/>
        </w:rPr>
        <w:t>Daily</w:t>
      </w:r>
    </w:p>
    <w:p w:rsidR="00AD48B7" w:rsidRPr="002658AF" w:rsidRDefault="008D4909" w:rsidP="002658AF">
      <w:pPr>
        <w:autoSpaceDE w:val="0"/>
        <w:autoSpaceDN w:val="0"/>
        <w:adjustRightInd w:val="0"/>
        <w:ind w:left="-283"/>
        <w:jc w:val="both"/>
        <w:rPr>
          <w:rFonts w:ascii="Arial" w:hAnsi="Arial" w:cs="Arial"/>
          <w:lang w:val="en-US"/>
        </w:rPr>
      </w:pPr>
      <w:r w:rsidRPr="008D4909">
        <w:rPr>
          <w:rFonts w:ascii="Arial" w:hAnsi="Arial" w:cs="Arial"/>
          <w:noProof/>
        </w:rPr>
        <w:drawing>
          <wp:inline distT="0" distB="0" distL="0" distR="0">
            <wp:extent cx="6645275" cy="4030980"/>
            <wp:effectExtent l="0" t="0" r="3175" b="7620"/>
            <wp:docPr id="13" name="Image 13" descr="C:\Users\EPBFIA~1\AppData\Local\Temp\Bloomberg\temp\bfm8B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8B9.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352" cy="4031633"/>
                    </a:xfrm>
                    <a:prstGeom prst="rect">
                      <a:avLst/>
                    </a:prstGeom>
                    <a:noFill/>
                    <a:ln>
                      <a:noFill/>
                    </a:ln>
                  </pic:spPr>
                </pic:pic>
              </a:graphicData>
            </a:graphic>
          </wp:inline>
        </w:drawing>
      </w:r>
    </w:p>
    <w:p w:rsidR="00AD48B7" w:rsidRPr="005258D6" w:rsidRDefault="00AD48B7" w:rsidP="00E81EBB">
      <w:pPr>
        <w:autoSpaceDE w:val="0"/>
        <w:autoSpaceDN w:val="0"/>
        <w:adjustRightInd w:val="0"/>
        <w:ind w:left="-283"/>
        <w:jc w:val="both"/>
        <w:rPr>
          <w:rFonts w:ascii="Arial" w:hAnsi="Arial" w:cs="Arial"/>
        </w:rPr>
      </w:pPr>
    </w:p>
    <w:p w:rsidR="00E508A8" w:rsidRDefault="0034170D" w:rsidP="00847162">
      <w:pPr>
        <w:jc w:val="both"/>
        <w:rPr>
          <w:rFonts w:ascii="Tahoma" w:hAnsi="Tahoma" w:cs="Tahoma"/>
          <w:bCs/>
        </w:rPr>
      </w:pPr>
      <w:r w:rsidRPr="00D724BF">
        <w:rPr>
          <w:rFonts w:ascii="Arial" w:hAnsi="Arial" w:cs="Arial"/>
          <w:b/>
          <w:bCs/>
        </w:rPr>
        <w:t>M :</w:t>
      </w:r>
      <w:r w:rsidRPr="00D724BF">
        <w:rPr>
          <w:rFonts w:ascii="Tahoma" w:hAnsi="Tahoma" w:cs="Tahoma"/>
          <w:bCs/>
        </w:rPr>
        <w:t xml:space="preserve"> </w:t>
      </w:r>
      <w:r w:rsidR="00847162">
        <w:rPr>
          <w:rFonts w:ascii="Tahoma" w:hAnsi="Tahoma" w:cs="Tahoma"/>
          <w:bCs/>
        </w:rPr>
        <w:t>Le nuage de long terme représente une zone d’équilibre comprise entre 0.00 et 0.35.</w:t>
      </w:r>
    </w:p>
    <w:p w:rsidR="00847162" w:rsidRDefault="00847162" w:rsidP="00847162">
      <w:pPr>
        <w:jc w:val="both"/>
        <w:rPr>
          <w:rFonts w:ascii="Tahoma" w:hAnsi="Tahoma" w:cs="Tahoma"/>
          <w:bCs/>
        </w:rPr>
      </w:pPr>
      <w:r>
        <w:rPr>
          <w:rFonts w:ascii="Tahoma" w:hAnsi="Tahoma" w:cs="Tahoma"/>
          <w:bCs/>
        </w:rPr>
        <w:t>La forme plate des courbes compos</w:t>
      </w:r>
      <w:r w:rsidR="00991FDF">
        <w:rPr>
          <w:rFonts w:ascii="Tahoma" w:hAnsi="Tahoma" w:cs="Tahoma"/>
          <w:bCs/>
        </w:rPr>
        <w:t>ant</w:t>
      </w:r>
      <w:r>
        <w:rPr>
          <w:rFonts w:ascii="Tahoma" w:hAnsi="Tahoma" w:cs="Tahoma"/>
          <w:bCs/>
        </w:rPr>
        <w:t xml:space="preserve"> l’analyse en nuage nous indique que le marché n’est pas en tendance.</w:t>
      </w:r>
    </w:p>
    <w:p w:rsidR="00AD48B7" w:rsidRDefault="00AD48B7" w:rsidP="00847162">
      <w:pPr>
        <w:jc w:val="both"/>
        <w:rPr>
          <w:rFonts w:ascii="Tahoma" w:hAnsi="Tahoma" w:cs="Tahoma"/>
          <w:bCs/>
        </w:rPr>
      </w:pPr>
      <w:r>
        <w:rPr>
          <w:rFonts w:ascii="Tahoma" w:hAnsi="Tahoma" w:cs="Tahoma"/>
          <w:bCs/>
        </w:rPr>
        <w:t xml:space="preserve">La KS sert de support sur </w:t>
      </w:r>
      <w:r w:rsidR="003E462E">
        <w:rPr>
          <w:rFonts w:ascii="Tahoma" w:hAnsi="Tahoma" w:cs="Tahoma"/>
          <w:bCs/>
        </w:rPr>
        <w:t>0.04. En cassure le taux s’orientera sur la partie basse de son nuage de 0.00.</w:t>
      </w:r>
    </w:p>
    <w:p w:rsidR="00847162" w:rsidRDefault="00847162" w:rsidP="00847162">
      <w:pPr>
        <w:jc w:val="both"/>
        <w:rPr>
          <w:rFonts w:ascii="Tahoma" w:hAnsi="Tahoma" w:cs="Tahoma"/>
          <w:bCs/>
        </w:rPr>
      </w:pPr>
      <w:r>
        <w:rPr>
          <w:rFonts w:ascii="Tahoma" w:hAnsi="Tahoma" w:cs="Tahoma"/>
          <w:bCs/>
        </w:rPr>
        <w:t xml:space="preserve">On ne pourra pas envisager </w:t>
      </w:r>
      <w:r w:rsidR="009906D1">
        <w:rPr>
          <w:rFonts w:ascii="Tahoma" w:hAnsi="Tahoma" w:cs="Tahoma"/>
          <w:bCs/>
        </w:rPr>
        <w:t>la hausse</w:t>
      </w:r>
      <w:r>
        <w:rPr>
          <w:rFonts w:ascii="Tahoma" w:hAnsi="Tahoma" w:cs="Tahoma"/>
          <w:bCs/>
        </w:rPr>
        <w:t xml:space="preserve"> tant que le 10 ans JP se maintiendra sous 0.35.</w:t>
      </w:r>
    </w:p>
    <w:p w:rsidR="0034170D" w:rsidRPr="00984DC8" w:rsidRDefault="0034170D" w:rsidP="0034170D">
      <w:pPr>
        <w:jc w:val="both"/>
        <w:rPr>
          <w:rFonts w:ascii="Tahoma" w:hAnsi="Tahoma" w:cs="Tahoma"/>
          <w:bCs/>
          <w:color w:val="FF0000"/>
        </w:rPr>
      </w:pPr>
      <w:r w:rsidRPr="00984DC8">
        <w:rPr>
          <w:rFonts w:ascii="Tahoma" w:hAnsi="Tahoma" w:cs="Tahoma"/>
          <w:bCs/>
          <w:color w:val="FF0000"/>
        </w:rPr>
        <w:t xml:space="preserve">  </w:t>
      </w:r>
    </w:p>
    <w:p w:rsidR="001A3568" w:rsidRPr="00A8624D" w:rsidRDefault="0034170D" w:rsidP="002C4B3C">
      <w:pPr>
        <w:jc w:val="both"/>
        <w:rPr>
          <w:rFonts w:ascii="Arial" w:hAnsi="Arial" w:cs="Arial"/>
          <w:bCs/>
        </w:rPr>
      </w:pPr>
      <w:r w:rsidRPr="00D724BF">
        <w:rPr>
          <w:rFonts w:ascii="Arial" w:hAnsi="Arial" w:cs="Arial"/>
          <w:b/>
          <w:bCs/>
        </w:rPr>
        <w:t xml:space="preserve">W : </w:t>
      </w:r>
      <w:r w:rsidR="00A8624D">
        <w:rPr>
          <w:rFonts w:ascii="Arial" w:hAnsi="Arial" w:cs="Arial"/>
          <w:bCs/>
        </w:rPr>
        <w:t>Le taux et la LS sont revenus sous leur nuage respectif. Cette action du marché place cette unité de temps dans un environnement favorable à la baisse. Mais l’orientation du nuage et son twist plaidera dans un premier pou</w:t>
      </w:r>
      <w:r w:rsidR="00EF2533">
        <w:rPr>
          <w:rFonts w:ascii="Arial" w:hAnsi="Arial" w:cs="Arial"/>
          <w:bCs/>
        </w:rPr>
        <w:t>r une consolidation horizontale comprise entre 0.00 et 0.15.</w:t>
      </w:r>
    </w:p>
    <w:p w:rsidR="000E0A8B" w:rsidRDefault="00243A7F" w:rsidP="0034170D">
      <w:pPr>
        <w:jc w:val="both"/>
        <w:rPr>
          <w:rFonts w:ascii="Tahoma" w:hAnsi="Tahoma" w:cs="Tahoma"/>
          <w:bCs/>
        </w:rPr>
      </w:pPr>
      <w:r>
        <w:rPr>
          <w:rFonts w:ascii="Tahoma" w:hAnsi="Tahoma" w:cs="Tahoma"/>
          <w:bCs/>
        </w:rPr>
        <w:t xml:space="preserve">Un retour du taux </w:t>
      </w:r>
      <w:r w:rsidR="00BF5006">
        <w:rPr>
          <w:rFonts w:ascii="Tahoma" w:hAnsi="Tahoma" w:cs="Tahoma"/>
          <w:bCs/>
        </w:rPr>
        <w:t>au-dessus</w:t>
      </w:r>
      <w:r>
        <w:rPr>
          <w:rFonts w:ascii="Tahoma" w:hAnsi="Tahoma" w:cs="Tahoma"/>
          <w:bCs/>
        </w:rPr>
        <w:t xml:space="preserve"> de 0.05 remettra en question cette vue.</w:t>
      </w:r>
    </w:p>
    <w:p w:rsidR="00243A7F" w:rsidRDefault="00243A7F" w:rsidP="0034170D">
      <w:pPr>
        <w:jc w:val="both"/>
        <w:rPr>
          <w:rFonts w:ascii="Tahoma" w:hAnsi="Tahoma" w:cs="Tahoma"/>
          <w:bCs/>
        </w:rPr>
      </w:pPr>
    </w:p>
    <w:p w:rsidR="00243A7F" w:rsidRPr="00252295" w:rsidRDefault="00243A7F" w:rsidP="0034170D">
      <w:pPr>
        <w:jc w:val="both"/>
        <w:rPr>
          <w:rFonts w:ascii="Tahoma" w:hAnsi="Tahoma" w:cs="Tahoma"/>
          <w:bCs/>
        </w:rPr>
      </w:pPr>
    </w:p>
    <w:p w:rsidR="001F298B" w:rsidRPr="001F298B" w:rsidRDefault="0034170D" w:rsidP="00847162">
      <w:pPr>
        <w:jc w:val="both"/>
        <w:rPr>
          <w:rFonts w:ascii="Arial" w:hAnsi="Arial" w:cs="Arial"/>
          <w:bCs/>
        </w:rPr>
      </w:pPr>
      <w:r w:rsidRPr="00D724BF">
        <w:rPr>
          <w:rFonts w:ascii="Arial" w:hAnsi="Arial" w:cs="Arial"/>
          <w:b/>
          <w:bCs/>
        </w:rPr>
        <w:t xml:space="preserve">D : </w:t>
      </w:r>
      <w:r w:rsidR="00023A5C">
        <w:rPr>
          <w:rFonts w:ascii="Arial" w:hAnsi="Arial" w:cs="Arial"/>
          <w:bCs/>
        </w:rPr>
        <w:t>L’orientation des courbes Ichimoku placent cette unité de temps dans un environnement baissier, lui-même favorable à une poursuite de la baisse en direction du support Weekly de 0.00.</w:t>
      </w:r>
      <w:r w:rsidR="001F298B">
        <w:rPr>
          <w:rFonts w:ascii="Arial" w:hAnsi="Arial" w:cs="Arial"/>
          <w:bCs/>
        </w:rPr>
        <w:t xml:space="preserve"> Le marché est </w:t>
      </w:r>
      <w:r w:rsidR="00BF5006">
        <w:rPr>
          <w:rFonts w:ascii="Arial" w:hAnsi="Arial" w:cs="Arial"/>
          <w:bCs/>
        </w:rPr>
        <w:t>légèrement</w:t>
      </w:r>
      <w:r w:rsidR="001F298B">
        <w:rPr>
          <w:rFonts w:ascii="Arial" w:hAnsi="Arial" w:cs="Arial"/>
          <w:bCs/>
        </w:rPr>
        <w:t xml:space="preserve"> sur tendu. Ce contexte milite pour une correction. Un retracement ne devra pas dépasser le niveau de 0.05</w:t>
      </w:r>
    </w:p>
    <w:p w:rsidR="00EB112D" w:rsidRDefault="00EB112D" w:rsidP="0034170D">
      <w:pPr>
        <w:jc w:val="both"/>
        <w:rPr>
          <w:rFonts w:ascii="Arial" w:hAnsi="Arial" w:cs="Arial"/>
          <w:b/>
          <w:bCs/>
        </w:rPr>
      </w:pPr>
    </w:p>
    <w:p w:rsidR="00EB112D" w:rsidRPr="002C4B3C" w:rsidRDefault="00EB112D" w:rsidP="0034170D">
      <w:pPr>
        <w:jc w:val="both"/>
        <w:rPr>
          <w:rFonts w:ascii="Arial" w:hAnsi="Arial" w:cs="Arial"/>
          <w:color w:val="FF0000"/>
        </w:rPr>
      </w:pPr>
    </w:p>
    <w:p w:rsidR="00F8001F" w:rsidRPr="002658AF" w:rsidRDefault="0034170D" w:rsidP="00292AF0">
      <w:pPr>
        <w:jc w:val="both"/>
        <w:rPr>
          <w:rFonts w:ascii="Arial" w:hAnsi="Arial" w:cs="Arial"/>
          <w:b/>
          <w:color w:val="00B050"/>
        </w:rPr>
      </w:pPr>
      <w:r w:rsidRPr="001F298B">
        <w:rPr>
          <w:rFonts w:ascii="Arial" w:hAnsi="Arial" w:cs="Arial"/>
          <w:b/>
          <w:color w:val="00B050"/>
          <w:u w:val="single"/>
        </w:rPr>
        <w:t>HEBDOMADAIRE</w:t>
      </w:r>
      <w:r w:rsidRPr="001F298B">
        <w:rPr>
          <w:rFonts w:ascii="Arial" w:hAnsi="Arial" w:cs="Arial"/>
          <w:b/>
          <w:color w:val="00B050"/>
        </w:rPr>
        <w:t xml:space="preserve"> : </w:t>
      </w:r>
      <w:r w:rsidR="00A4169A">
        <w:rPr>
          <w:rFonts w:ascii="Arial" w:hAnsi="Arial" w:cs="Arial"/>
          <w:b/>
          <w:color w:val="00B050"/>
        </w:rPr>
        <w:t>C</w:t>
      </w:r>
      <w:r w:rsidR="001F298B" w:rsidRPr="001F298B">
        <w:rPr>
          <w:rFonts w:ascii="Arial" w:hAnsi="Arial" w:cs="Arial"/>
          <w:b/>
          <w:color w:val="00B050"/>
        </w:rPr>
        <w:t>ontexte sur tendu sur le court terme qui demande à être corrigé. Cette correction ne devra pas dépasser 0.05 pour envisager une poursuite de la baisse sur 0.00.</w:t>
      </w:r>
      <w:r w:rsidR="00F8001F">
        <w:rPr>
          <w:rFonts w:ascii="Arial" w:hAnsi="Arial" w:cs="Arial"/>
          <w:b/>
          <w:bCs/>
          <w:sz w:val="36"/>
          <w:szCs w:val="36"/>
        </w:rPr>
        <w:t xml:space="preserve">          </w:t>
      </w:r>
    </w:p>
    <w:p w:rsidR="00E81EBB" w:rsidRDefault="00E81EBB" w:rsidP="00292AF0">
      <w:pPr>
        <w:jc w:val="both"/>
        <w:rPr>
          <w:rFonts w:ascii="Arial" w:hAnsi="Arial" w:cs="Arial"/>
          <w:b/>
          <w:bCs/>
          <w:sz w:val="36"/>
          <w:szCs w:val="36"/>
        </w:rPr>
      </w:pPr>
    </w:p>
    <w:p w:rsidR="002658AF" w:rsidRPr="0006091F" w:rsidRDefault="002658A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8D4909">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29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7220"/>
    <w:rsid w:val="000305D4"/>
    <w:rsid w:val="00031AE3"/>
    <w:rsid w:val="00031D2A"/>
    <w:rsid w:val="00032EF8"/>
    <w:rsid w:val="00033CA8"/>
    <w:rsid w:val="000341AC"/>
    <w:rsid w:val="000403B1"/>
    <w:rsid w:val="00040784"/>
    <w:rsid w:val="00040AE9"/>
    <w:rsid w:val="000412FF"/>
    <w:rsid w:val="00041F25"/>
    <w:rsid w:val="00042BFD"/>
    <w:rsid w:val="00043F54"/>
    <w:rsid w:val="000440AD"/>
    <w:rsid w:val="00050AE9"/>
    <w:rsid w:val="000516DF"/>
    <w:rsid w:val="0005450A"/>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5762"/>
    <w:rsid w:val="001562F5"/>
    <w:rsid w:val="0016468C"/>
    <w:rsid w:val="00164E23"/>
    <w:rsid w:val="00167798"/>
    <w:rsid w:val="00167C50"/>
    <w:rsid w:val="00167E3C"/>
    <w:rsid w:val="0017044D"/>
    <w:rsid w:val="00171C19"/>
    <w:rsid w:val="0017255A"/>
    <w:rsid w:val="00174112"/>
    <w:rsid w:val="00174D90"/>
    <w:rsid w:val="001758CA"/>
    <w:rsid w:val="00175D7D"/>
    <w:rsid w:val="00177347"/>
    <w:rsid w:val="001802ED"/>
    <w:rsid w:val="001806AF"/>
    <w:rsid w:val="00181C36"/>
    <w:rsid w:val="00183409"/>
    <w:rsid w:val="0018460F"/>
    <w:rsid w:val="00184E1D"/>
    <w:rsid w:val="001900F2"/>
    <w:rsid w:val="00190AAE"/>
    <w:rsid w:val="001929A4"/>
    <w:rsid w:val="0019448F"/>
    <w:rsid w:val="001944C7"/>
    <w:rsid w:val="0019471F"/>
    <w:rsid w:val="001949F6"/>
    <w:rsid w:val="00194BF8"/>
    <w:rsid w:val="001954B6"/>
    <w:rsid w:val="00196168"/>
    <w:rsid w:val="00197EFA"/>
    <w:rsid w:val="001A01D2"/>
    <w:rsid w:val="001A24E1"/>
    <w:rsid w:val="001A3568"/>
    <w:rsid w:val="001A6D35"/>
    <w:rsid w:val="001A7163"/>
    <w:rsid w:val="001B1120"/>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E4E26"/>
    <w:rsid w:val="001E5FC8"/>
    <w:rsid w:val="001E7AFE"/>
    <w:rsid w:val="001E7C78"/>
    <w:rsid w:val="001F04FB"/>
    <w:rsid w:val="001F0E5F"/>
    <w:rsid w:val="001F298B"/>
    <w:rsid w:val="001F4F7F"/>
    <w:rsid w:val="002000EA"/>
    <w:rsid w:val="00201C31"/>
    <w:rsid w:val="00203583"/>
    <w:rsid w:val="00206305"/>
    <w:rsid w:val="00206439"/>
    <w:rsid w:val="00206C2A"/>
    <w:rsid w:val="002078BB"/>
    <w:rsid w:val="00207BD5"/>
    <w:rsid w:val="002110BC"/>
    <w:rsid w:val="0021328A"/>
    <w:rsid w:val="00216FF9"/>
    <w:rsid w:val="0021751A"/>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DE8"/>
    <w:rsid w:val="002637F2"/>
    <w:rsid w:val="00263A7F"/>
    <w:rsid w:val="00264CE5"/>
    <w:rsid w:val="00264ECA"/>
    <w:rsid w:val="00264FEC"/>
    <w:rsid w:val="002658AF"/>
    <w:rsid w:val="002738EB"/>
    <w:rsid w:val="00273EF1"/>
    <w:rsid w:val="00274AD5"/>
    <w:rsid w:val="00275122"/>
    <w:rsid w:val="002759EF"/>
    <w:rsid w:val="002764EC"/>
    <w:rsid w:val="0027656D"/>
    <w:rsid w:val="00276D92"/>
    <w:rsid w:val="0027748F"/>
    <w:rsid w:val="00281F6C"/>
    <w:rsid w:val="00283BD0"/>
    <w:rsid w:val="0028437B"/>
    <w:rsid w:val="00284863"/>
    <w:rsid w:val="0028603F"/>
    <w:rsid w:val="0029217A"/>
    <w:rsid w:val="00292AF0"/>
    <w:rsid w:val="00294B9B"/>
    <w:rsid w:val="002A2E2C"/>
    <w:rsid w:val="002A322F"/>
    <w:rsid w:val="002A3BA9"/>
    <w:rsid w:val="002A3CA4"/>
    <w:rsid w:val="002A46CF"/>
    <w:rsid w:val="002A634E"/>
    <w:rsid w:val="002A63D2"/>
    <w:rsid w:val="002B0A38"/>
    <w:rsid w:val="002B268E"/>
    <w:rsid w:val="002B4084"/>
    <w:rsid w:val="002B5AD8"/>
    <w:rsid w:val="002C101E"/>
    <w:rsid w:val="002C17CF"/>
    <w:rsid w:val="002C1ABF"/>
    <w:rsid w:val="002C2834"/>
    <w:rsid w:val="002C2DC2"/>
    <w:rsid w:val="002C3C75"/>
    <w:rsid w:val="002C4B3C"/>
    <w:rsid w:val="002C5FAC"/>
    <w:rsid w:val="002C77B2"/>
    <w:rsid w:val="002D3EC9"/>
    <w:rsid w:val="002D56ED"/>
    <w:rsid w:val="002D6096"/>
    <w:rsid w:val="002E337C"/>
    <w:rsid w:val="002E34FF"/>
    <w:rsid w:val="002E3C88"/>
    <w:rsid w:val="002E5E89"/>
    <w:rsid w:val="002E71C2"/>
    <w:rsid w:val="002E7D66"/>
    <w:rsid w:val="002F0C21"/>
    <w:rsid w:val="002F127F"/>
    <w:rsid w:val="002F1F80"/>
    <w:rsid w:val="002F3091"/>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A93"/>
    <w:rsid w:val="00326EA9"/>
    <w:rsid w:val="00330C78"/>
    <w:rsid w:val="00332645"/>
    <w:rsid w:val="00337BE0"/>
    <w:rsid w:val="003411EA"/>
    <w:rsid w:val="0034135F"/>
    <w:rsid w:val="0034170D"/>
    <w:rsid w:val="00343C28"/>
    <w:rsid w:val="003442C6"/>
    <w:rsid w:val="00346F7E"/>
    <w:rsid w:val="00347D77"/>
    <w:rsid w:val="003505F9"/>
    <w:rsid w:val="0035123F"/>
    <w:rsid w:val="00352A1E"/>
    <w:rsid w:val="00353038"/>
    <w:rsid w:val="00353AD0"/>
    <w:rsid w:val="00354C96"/>
    <w:rsid w:val="003556EB"/>
    <w:rsid w:val="00355BDF"/>
    <w:rsid w:val="00356BCB"/>
    <w:rsid w:val="00357368"/>
    <w:rsid w:val="00360110"/>
    <w:rsid w:val="00361D63"/>
    <w:rsid w:val="0036426F"/>
    <w:rsid w:val="0036499E"/>
    <w:rsid w:val="00365809"/>
    <w:rsid w:val="00366961"/>
    <w:rsid w:val="00367053"/>
    <w:rsid w:val="00367239"/>
    <w:rsid w:val="00367599"/>
    <w:rsid w:val="003702C4"/>
    <w:rsid w:val="00373142"/>
    <w:rsid w:val="003750B6"/>
    <w:rsid w:val="003754F3"/>
    <w:rsid w:val="00377440"/>
    <w:rsid w:val="0037765A"/>
    <w:rsid w:val="0038013D"/>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1462"/>
    <w:rsid w:val="003C27DA"/>
    <w:rsid w:val="003C4EDA"/>
    <w:rsid w:val="003D08EB"/>
    <w:rsid w:val="003D41A5"/>
    <w:rsid w:val="003D663C"/>
    <w:rsid w:val="003E1B3F"/>
    <w:rsid w:val="003E286C"/>
    <w:rsid w:val="003E462E"/>
    <w:rsid w:val="003E5A71"/>
    <w:rsid w:val="003E749D"/>
    <w:rsid w:val="003F4023"/>
    <w:rsid w:val="003F42D2"/>
    <w:rsid w:val="003F502F"/>
    <w:rsid w:val="003F6F10"/>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2CB3"/>
    <w:rsid w:val="00415641"/>
    <w:rsid w:val="00416B48"/>
    <w:rsid w:val="00416F1A"/>
    <w:rsid w:val="00420C45"/>
    <w:rsid w:val="00420D5B"/>
    <w:rsid w:val="004225A5"/>
    <w:rsid w:val="00422637"/>
    <w:rsid w:val="00423B60"/>
    <w:rsid w:val="0043066E"/>
    <w:rsid w:val="004306D5"/>
    <w:rsid w:val="0043099C"/>
    <w:rsid w:val="0043164A"/>
    <w:rsid w:val="00432229"/>
    <w:rsid w:val="00432974"/>
    <w:rsid w:val="004337C8"/>
    <w:rsid w:val="00440575"/>
    <w:rsid w:val="004411EA"/>
    <w:rsid w:val="00442012"/>
    <w:rsid w:val="004465AF"/>
    <w:rsid w:val="00446A18"/>
    <w:rsid w:val="00447612"/>
    <w:rsid w:val="00447F13"/>
    <w:rsid w:val="00451C8C"/>
    <w:rsid w:val="00454022"/>
    <w:rsid w:val="00457643"/>
    <w:rsid w:val="00461D48"/>
    <w:rsid w:val="00462BAF"/>
    <w:rsid w:val="00464BA2"/>
    <w:rsid w:val="004657DD"/>
    <w:rsid w:val="0046677B"/>
    <w:rsid w:val="00467E82"/>
    <w:rsid w:val="00470E75"/>
    <w:rsid w:val="0047266A"/>
    <w:rsid w:val="00473686"/>
    <w:rsid w:val="00473B65"/>
    <w:rsid w:val="00474400"/>
    <w:rsid w:val="00476700"/>
    <w:rsid w:val="004801A4"/>
    <w:rsid w:val="00480883"/>
    <w:rsid w:val="00483F5C"/>
    <w:rsid w:val="004857D5"/>
    <w:rsid w:val="00485A58"/>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57CF"/>
    <w:rsid w:val="004C7595"/>
    <w:rsid w:val="004C793E"/>
    <w:rsid w:val="004D02B8"/>
    <w:rsid w:val="004D2E5B"/>
    <w:rsid w:val="004D3429"/>
    <w:rsid w:val="004D34DF"/>
    <w:rsid w:val="004D3A21"/>
    <w:rsid w:val="004E02D3"/>
    <w:rsid w:val="004E2FE7"/>
    <w:rsid w:val="004E4C26"/>
    <w:rsid w:val="004E4DA1"/>
    <w:rsid w:val="004E5DFE"/>
    <w:rsid w:val="004F3450"/>
    <w:rsid w:val="004F35A1"/>
    <w:rsid w:val="004F3E17"/>
    <w:rsid w:val="004F49FB"/>
    <w:rsid w:val="004F7DB1"/>
    <w:rsid w:val="004F7DDC"/>
    <w:rsid w:val="00500A6D"/>
    <w:rsid w:val="00501F69"/>
    <w:rsid w:val="005021FC"/>
    <w:rsid w:val="00504921"/>
    <w:rsid w:val="0050573E"/>
    <w:rsid w:val="00510F8B"/>
    <w:rsid w:val="00512B03"/>
    <w:rsid w:val="00514C7E"/>
    <w:rsid w:val="00515845"/>
    <w:rsid w:val="0051588E"/>
    <w:rsid w:val="005177AF"/>
    <w:rsid w:val="00521EE7"/>
    <w:rsid w:val="005224FA"/>
    <w:rsid w:val="0052288F"/>
    <w:rsid w:val="005240F6"/>
    <w:rsid w:val="005258D6"/>
    <w:rsid w:val="0053209A"/>
    <w:rsid w:val="0054005C"/>
    <w:rsid w:val="0054194A"/>
    <w:rsid w:val="0054241C"/>
    <w:rsid w:val="005428F6"/>
    <w:rsid w:val="00542FB4"/>
    <w:rsid w:val="0054379C"/>
    <w:rsid w:val="00545526"/>
    <w:rsid w:val="00545E40"/>
    <w:rsid w:val="005530C2"/>
    <w:rsid w:val="005542F2"/>
    <w:rsid w:val="005600F6"/>
    <w:rsid w:val="005622FD"/>
    <w:rsid w:val="00562C92"/>
    <w:rsid w:val="0056304D"/>
    <w:rsid w:val="0056419E"/>
    <w:rsid w:val="00567C3E"/>
    <w:rsid w:val="00567D59"/>
    <w:rsid w:val="00571826"/>
    <w:rsid w:val="00572E55"/>
    <w:rsid w:val="005758A9"/>
    <w:rsid w:val="005770A5"/>
    <w:rsid w:val="00580C26"/>
    <w:rsid w:val="00583E6E"/>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7228"/>
    <w:rsid w:val="005E0045"/>
    <w:rsid w:val="005E3841"/>
    <w:rsid w:val="005E3A9D"/>
    <w:rsid w:val="005E4948"/>
    <w:rsid w:val="005F0148"/>
    <w:rsid w:val="005F0764"/>
    <w:rsid w:val="005F7340"/>
    <w:rsid w:val="0060114F"/>
    <w:rsid w:val="0060274E"/>
    <w:rsid w:val="00602AC0"/>
    <w:rsid w:val="006048FD"/>
    <w:rsid w:val="00606B55"/>
    <w:rsid w:val="00607B8E"/>
    <w:rsid w:val="00612BDB"/>
    <w:rsid w:val="00612E2D"/>
    <w:rsid w:val="00613E70"/>
    <w:rsid w:val="00617226"/>
    <w:rsid w:val="00620D34"/>
    <w:rsid w:val="0062108B"/>
    <w:rsid w:val="00621305"/>
    <w:rsid w:val="006233E3"/>
    <w:rsid w:val="00623878"/>
    <w:rsid w:val="0062397C"/>
    <w:rsid w:val="0062450E"/>
    <w:rsid w:val="00626AF6"/>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870"/>
    <w:rsid w:val="00682009"/>
    <w:rsid w:val="006832C0"/>
    <w:rsid w:val="00684003"/>
    <w:rsid w:val="00684F60"/>
    <w:rsid w:val="006871A5"/>
    <w:rsid w:val="00687AA0"/>
    <w:rsid w:val="00687F45"/>
    <w:rsid w:val="00690736"/>
    <w:rsid w:val="0069101B"/>
    <w:rsid w:val="00691E63"/>
    <w:rsid w:val="00694328"/>
    <w:rsid w:val="00695C02"/>
    <w:rsid w:val="00696B7C"/>
    <w:rsid w:val="006A0DD9"/>
    <w:rsid w:val="006A1753"/>
    <w:rsid w:val="006A24B7"/>
    <w:rsid w:val="006A3761"/>
    <w:rsid w:val="006A380A"/>
    <w:rsid w:val="006A43AF"/>
    <w:rsid w:val="006A637D"/>
    <w:rsid w:val="006A74DA"/>
    <w:rsid w:val="006B0A0C"/>
    <w:rsid w:val="006B0BF0"/>
    <w:rsid w:val="006B196C"/>
    <w:rsid w:val="006B35CA"/>
    <w:rsid w:val="006B39A5"/>
    <w:rsid w:val="006B4A73"/>
    <w:rsid w:val="006B5DB2"/>
    <w:rsid w:val="006C0FF6"/>
    <w:rsid w:val="006C10F5"/>
    <w:rsid w:val="006C35C9"/>
    <w:rsid w:val="006C4521"/>
    <w:rsid w:val="006C472D"/>
    <w:rsid w:val="006C59E0"/>
    <w:rsid w:val="006C634F"/>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4233"/>
    <w:rsid w:val="007447D8"/>
    <w:rsid w:val="00746A4F"/>
    <w:rsid w:val="007514B1"/>
    <w:rsid w:val="00753DE9"/>
    <w:rsid w:val="00754F13"/>
    <w:rsid w:val="0076073C"/>
    <w:rsid w:val="00761A6E"/>
    <w:rsid w:val="00762F69"/>
    <w:rsid w:val="007633DD"/>
    <w:rsid w:val="00763578"/>
    <w:rsid w:val="00763833"/>
    <w:rsid w:val="00764E65"/>
    <w:rsid w:val="007658F2"/>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3466"/>
    <w:rsid w:val="007A54EF"/>
    <w:rsid w:val="007A5656"/>
    <w:rsid w:val="007A5C06"/>
    <w:rsid w:val="007B142D"/>
    <w:rsid w:val="007B31F5"/>
    <w:rsid w:val="007B6865"/>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71790"/>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5673"/>
    <w:rsid w:val="008B5D81"/>
    <w:rsid w:val="008B636B"/>
    <w:rsid w:val="008B7591"/>
    <w:rsid w:val="008C46FE"/>
    <w:rsid w:val="008C60C0"/>
    <w:rsid w:val="008C648F"/>
    <w:rsid w:val="008C6E2B"/>
    <w:rsid w:val="008D0E1C"/>
    <w:rsid w:val="008D4909"/>
    <w:rsid w:val="008D490D"/>
    <w:rsid w:val="008E1392"/>
    <w:rsid w:val="008E220D"/>
    <w:rsid w:val="008E2679"/>
    <w:rsid w:val="008E426B"/>
    <w:rsid w:val="008F066B"/>
    <w:rsid w:val="008F1539"/>
    <w:rsid w:val="008F180E"/>
    <w:rsid w:val="008F40E5"/>
    <w:rsid w:val="008F60C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66C"/>
    <w:rsid w:val="00937E37"/>
    <w:rsid w:val="00940DD1"/>
    <w:rsid w:val="00941E94"/>
    <w:rsid w:val="00942E0E"/>
    <w:rsid w:val="00942E34"/>
    <w:rsid w:val="009435E0"/>
    <w:rsid w:val="00947AB8"/>
    <w:rsid w:val="00947D9D"/>
    <w:rsid w:val="009509FF"/>
    <w:rsid w:val="00950C2A"/>
    <w:rsid w:val="00950FA6"/>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90006"/>
    <w:rsid w:val="009906D1"/>
    <w:rsid w:val="00991FDF"/>
    <w:rsid w:val="009925DF"/>
    <w:rsid w:val="00992B49"/>
    <w:rsid w:val="00993FF1"/>
    <w:rsid w:val="00996367"/>
    <w:rsid w:val="00996F48"/>
    <w:rsid w:val="00997475"/>
    <w:rsid w:val="009A0270"/>
    <w:rsid w:val="009A1149"/>
    <w:rsid w:val="009A1C33"/>
    <w:rsid w:val="009A3DAA"/>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123B"/>
    <w:rsid w:val="009D4CFB"/>
    <w:rsid w:val="009D5D8C"/>
    <w:rsid w:val="009D6F55"/>
    <w:rsid w:val="009D7D57"/>
    <w:rsid w:val="009E0FEE"/>
    <w:rsid w:val="009E22DE"/>
    <w:rsid w:val="009F001A"/>
    <w:rsid w:val="009F1AF9"/>
    <w:rsid w:val="009F220A"/>
    <w:rsid w:val="009F62C1"/>
    <w:rsid w:val="009F7FD0"/>
    <w:rsid w:val="00A00B42"/>
    <w:rsid w:val="00A00FAE"/>
    <w:rsid w:val="00A027F6"/>
    <w:rsid w:val="00A04A6C"/>
    <w:rsid w:val="00A0697F"/>
    <w:rsid w:val="00A0762B"/>
    <w:rsid w:val="00A079AF"/>
    <w:rsid w:val="00A15D2E"/>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31AB"/>
    <w:rsid w:val="00A53FF3"/>
    <w:rsid w:val="00A6071B"/>
    <w:rsid w:val="00A60F63"/>
    <w:rsid w:val="00A636A6"/>
    <w:rsid w:val="00A64B0D"/>
    <w:rsid w:val="00A665E7"/>
    <w:rsid w:val="00A66C62"/>
    <w:rsid w:val="00A67C1F"/>
    <w:rsid w:val="00A73D56"/>
    <w:rsid w:val="00A741BF"/>
    <w:rsid w:val="00A75AFF"/>
    <w:rsid w:val="00A77E98"/>
    <w:rsid w:val="00A800B4"/>
    <w:rsid w:val="00A801C3"/>
    <w:rsid w:val="00A804C2"/>
    <w:rsid w:val="00A82504"/>
    <w:rsid w:val="00A83DD6"/>
    <w:rsid w:val="00A84247"/>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3B97"/>
    <w:rsid w:val="00AB7793"/>
    <w:rsid w:val="00AB7D94"/>
    <w:rsid w:val="00AC18B9"/>
    <w:rsid w:val="00AC2628"/>
    <w:rsid w:val="00AC4E3C"/>
    <w:rsid w:val="00AC5952"/>
    <w:rsid w:val="00AC5E45"/>
    <w:rsid w:val="00AC6C2D"/>
    <w:rsid w:val="00AC6DF5"/>
    <w:rsid w:val="00AC7DC8"/>
    <w:rsid w:val="00AD3EC0"/>
    <w:rsid w:val="00AD48B7"/>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10C67"/>
    <w:rsid w:val="00B124E0"/>
    <w:rsid w:val="00B135EC"/>
    <w:rsid w:val="00B15DE6"/>
    <w:rsid w:val="00B16898"/>
    <w:rsid w:val="00B2134A"/>
    <w:rsid w:val="00B21362"/>
    <w:rsid w:val="00B215B0"/>
    <w:rsid w:val="00B22088"/>
    <w:rsid w:val="00B23041"/>
    <w:rsid w:val="00B23662"/>
    <w:rsid w:val="00B23A4D"/>
    <w:rsid w:val="00B23C18"/>
    <w:rsid w:val="00B25375"/>
    <w:rsid w:val="00B30D14"/>
    <w:rsid w:val="00B30DFC"/>
    <w:rsid w:val="00B32C34"/>
    <w:rsid w:val="00B35114"/>
    <w:rsid w:val="00B35DBD"/>
    <w:rsid w:val="00B37C44"/>
    <w:rsid w:val="00B4102E"/>
    <w:rsid w:val="00B41142"/>
    <w:rsid w:val="00B422AB"/>
    <w:rsid w:val="00B4277F"/>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97D"/>
    <w:rsid w:val="00B71F16"/>
    <w:rsid w:val="00B731A7"/>
    <w:rsid w:val="00B74B95"/>
    <w:rsid w:val="00B752C8"/>
    <w:rsid w:val="00B76E25"/>
    <w:rsid w:val="00B776F2"/>
    <w:rsid w:val="00B81C31"/>
    <w:rsid w:val="00B82610"/>
    <w:rsid w:val="00B83C0B"/>
    <w:rsid w:val="00B83D1C"/>
    <w:rsid w:val="00B83DFB"/>
    <w:rsid w:val="00B87258"/>
    <w:rsid w:val="00B90B86"/>
    <w:rsid w:val="00B90ECB"/>
    <w:rsid w:val="00B911B3"/>
    <w:rsid w:val="00B974C8"/>
    <w:rsid w:val="00BA0BAB"/>
    <w:rsid w:val="00BA1E3D"/>
    <w:rsid w:val="00BA1F23"/>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6555"/>
    <w:rsid w:val="00BC69CA"/>
    <w:rsid w:val="00BC73E5"/>
    <w:rsid w:val="00BD2F6E"/>
    <w:rsid w:val="00BD387D"/>
    <w:rsid w:val="00BD3A17"/>
    <w:rsid w:val="00BD50FC"/>
    <w:rsid w:val="00BD512A"/>
    <w:rsid w:val="00BD620D"/>
    <w:rsid w:val="00BD701C"/>
    <w:rsid w:val="00BD76EB"/>
    <w:rsid w:val="00BE0342"/>
    <w:rsid w:val="00BE15E9"/>
    <w:rsid w:val="00BE1712"/>
    <w:rsid w:val="00BE257A"/>
    <w:rsid w:val="00BE3DB5"/>
    <w:rsid w:val="00BE5E46"/>
    <w:rsid w:val="00BE6BD9"/>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FD4"/>
    <w:rsid w:val="00C2005B"/>
    <w:rsid w:val="00C214FD"/>
    <w:rsid w:val="00C21594"/>
    <w:rsid w:val="00C21649"/>
    <w:rsid w:val="00C21C25"/>
    <w:rsid w:val="00C23B6B"/>
    <w:rsid w:val="00C23C25"/>
    <w:rsid w:val="00C23D35"/>
    <w:rsid w:val="00C240BD"/>
    <w:rsid w:val="00C24A1C"/>
    <w:rsid w:val="00C26531"/>
    <w:rsid w:val="00C32E33"/>
    <w:rsid w:val="00C3351F"/>
    <w:rsid w:val="00C336F8"/>
    <w:rsid w:val="00C337CC"/>
    <w:rsid w:val="00C35146"/>
    <w:rsid w:val="00C3756A"/>
    <w:rsid w:val="00C407EF"/>
    <w:rsid w:val="00C43239"/>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5B65"/>
    <w:rsid w:val="00C86F3C"/>
    <w:rsid w:val="00C87891"/>
    <w:rsid w:val="00C87D28"/>
    <w:rsid w:val="00C91DC4"/>
    <w:rsid w:val="00C92A3F"/>
    <w:rsid w:val="00C94164"/>
    <w:rsid w:val="00C955D5"/>
    <w:rsid w:val="00C97C00"/>
    <w:rsid w:val="00CA08EA"/>
    <w:rsid w:val="00CA0BD9"/>
    <w:rsid w:val="00CA151C"/>
    <w:rsid w:val="00CA23A7"/>
    <w:rsid w:val="00CA31E9"/>
    <w:rsid w:val="00CA3A8D"/>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3144"/>
    <w:rsid w:val="00CF4284"/>
    <w:rsid w:val="00CF5C74"/>
    <w:rsid w:val="00CF61F0"/>
    <w:rsid w:val="00CF7FF8"/>
    <w:rsid w:val="00D06ADB"/>
    <w:rsid w:val="00D07DCB"/>
    <w:rsid w:val="00D13526"/>
    <w:rsid w:val="00D15C83"/>
    <w:rsid w:val="00D15FFB"/>
    <w:rsid w:val="00D16E6F"/>
    <w:rsid w:val="00D17E01"/>
    <w:rsid w:val="00D17FF4"/>
    <w:rsid w:val="00D222DE"/>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20FC"/>
    <w:rsid w:val="00D724BF"/>
    <w:rsid w:val="00D756C6"/>
    <w:rsid w:val="00D76B85"/>
    <w:rsid w:val="00D77DF4"/>
    <w:rsid w:val="00D80633"/>
    <w:rsid w:val="00D8157E"/>
    <w:rsid w:val="00D82307"/>
    <w:rsid w:val="00D86F6B"/>
    <w:rsid w:val="00D86FC3"/>
    <w:rsid w:val="00D87804"/>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1395"/>
    <w:rsid w:val="00E0208C"/>
    <w:rsid w:val="00E02686"/>
    <w:rsid w:val="00E044F2"/>
    <w:rsid w:val="00E07347"/>
    <w:rsid w:val="00E11B6D"/>
    <w:rsid w:val="00E1265D"/>
    <w:rsid w:val="00E16413"/>
    <w:rsid w:val="00E16C54"/>
    <w:rsid w:val="00E2226C"/>
    <w:rsid w:val="00E22DFF"/>
    <w:rsid w:val="00E249A2"/>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7846"/>
    <w:rsid w:val="00E60B59"/>
    <w:rsid w:val="00E61B99"/>
    <w:rsid w:val="00E6336C"/>
    <w:rsid w:val="00E6550D"/>
    <w:rsid w:val="00E65B93"/>
    <w:rsid w:val="00E72900"/>
    <w:rsid w:val="00E73384"/>
    <w:rsid w:val="00E73BC8"/>
    <w:rsid w:val="00E743CB"/>
    <w:rsid w:val="00E74773"/>
    <w:rsid w:val="00E75757"/>
    <w:rsid w:val="00E76404"/>
    <w:rsid w:val="00E77AC0"/>
    <w:rsid w:val="00E803BA"/>
    <w:rsid w:val="00E809A2"/>
    <w:rsid w:val="00E80A8E"/>
    <w:rsid w:val="00E80EBA"/>
    <w:rsid w:val="00E810A2"/>
    <w:rsid w:val="00E81EBB"/>
    <w:rsid w:val="00E84B13"/>
    <w:rsid w:val="00E8505F"/>
    <w:rsid w:val="00E866B7"/>
    <w:rsid w:val="00E9024F"/>
    <w:rsid w:val="00E91CB0"/>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1495"/>
    <w:rsid w:val="00ED185D"/>
    <w:rsid w:val="00ED68CD"/>
    <w:rsid w:val="00EE13D1"/>
    <w:rsid w:val="00EE3F61"/>
    <w:rsid w:val="00EE71A6"/>
    <w:rsid w:val="00EE7B57"/>
    <w:rsid w:val="00EE7F56"/>
    <w:rsid w:val="00EE7FC9"/>
    <w:rsid w:val="00EF2533"/>
    <w:rsid w:val="00EF447F"/>
    <w:rsid w:val="00EF5787"/>
    <w:rsid w:val="00F0241F"/>
    <w:rsid w:val="00F05C61"/>
    <w:rsid w:val="00F05CD8"/>
    <w:rsid w:val="00F06E5A"/>
    <w:rsid w:val="00F0785A"/>
    <w:rsid w:val="00F07D03"/>
    <w:rsid w:val="00F12F29"/>
    <w:rsid w:val="00F136E1"/>
    <w:rsid w:val="00F139AF"/>
    <w:rsid w:val="00F158EF"/>
    <w:rsid w:val="00F16B6C"/>
    <w:rsid w:val="00F17658"/>
    <w:rsid w:val="00F20AEE"/>
    <w:rsid w:val="00F20FBF"/>
    <w:rsid w:val="00F21A60"/>
    <w:rsid w:val="00F26242"/>
    <w:rsid w:val="00F26BC3"/>
    <w:rsid w:val="00F27321"/>
    <w:rsid w:val="00F30216"/>
    <w:rsid w:val="00F400DC"/>
    <w:rsid w:val="00F40918"/>
    <w:rsid w:val="00F40F4B"/>
    <w:rsid w:val="00F4699E"/>
    <w:rsid w:val="00F5086A"/>
    <w:rsid w:val="00F51B98"/>
    <w:rsid w:val="00F52598"/>
    <w:rsid w:val="00F533C7"/>
    <w:rsid w:val="00F5391F"/>
    <w:rsid w:val="00F54B4C"/>
    <w:rsid w:val="00F5748E"/>
    <w:rsid w:val="00F61A1D"/>
    <w:rsid w:val="00F62120"/>
    <w:rsid w:val="00F62AA8"/>
    <w:rsid w:val="00F63322"/>
    <w:rsid w:val="00F645AB"/>
    <w:rsid w:val="00F657DC"/>
    <w:rsid w:val="00F65E03"/>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3FFD"/>
    <w:rsid w:val="00F846A0"/>
    <w:rsid w:val="00F84A6A"/>
    <w:rsid w:val="00F87BE1"/>
    <w:rsid w:val="00F930B8"/>
    <w:rsid w:val="00F939F4"/>
    <w:rsid w:val="00F93F89"/>
    <w:rsid w:val="00F944A1"/>
    <w:rsid w:val="00F950A8"/>
    <w:rsid w:val="00F9531A"/>
    <w:rsid w:val="00F95A16"/>
    <w:rsid w:val="00FA1532"/>
    <w:rsid w:val="00FA2131"/>
    <w:rsid w:val="00FA3742"/>
    <w:rsid w:val="00FA40A9"/>
    <w:rsid w:val="00FA4C2A"/>
    <w:rsid w:val="00FA5CAD"/>
    <w:rsid w:val="00FA6116"/>
    <w:rsid w:val="00FA6DF2"/>
    <w:rsid w:val="00FB2728"/>
    <w:rsid w:val="00FB5FC1"/>
    <w:rsid w:val="00FB69C9"/>
    <w:rsid w:val="00FC04E2"/>
    <w:rsid w:val="00FC088B"/>
    <w:rsid w:val="00FC2714"/>
    <w:rsid w:val="00FC4484"/>
    <w:rsid w:val="00FC4B29"/>
    <w:rsid w:val="00FC5BDA"/>
    <w:rsid w:val="00FC6539"/>
    <w:rsid w:val="00FD100B"/>
    <w:rsid w:val="00FD367A"/>
    <w:rsid w:val="00FD5E11"/>
    <w:rsid w:val="00FE01E5"/>
    <w:rsid w:val="00FE17F5"/>
    <w:rsid w:val="00FE1EB2"/>
    <w:rsid w:val="00FE30E6"/>
    <w:rsid w:val="00FE3BAD"/>
    <w:rsid w:val="00FE4A7A"/>
    <w:rsid w:val="00FE5C82"/>
    <w:rsid w:val="00FF09EF"/>
    <w:rsid w:val="00FF1052"/>
    <w:rsid w:val="00FF1FC8"/>
    <w:rsid w:val="00FF2354"/>
    <w:rsid w:val="00FF4A9E"/>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3974B-D82F-469F-9374-7114C7D63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566</Words>
  <Characters>3118</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16</cp:revision>
  <cp:lastPrinted>2018-12-17T08:35:00Z</cp:lastPrinted>
  <dcterms:created xsi:type="dcterms:W3CDTF">2018-12-17T07:18:00Z</dcterms:created>
  <dcterms:modified xsi:type="dcterms:W3CDTF">2018-12-17T09:07:00Z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