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EB3109" w:rsidRPr="001F182A" w:rsidRDefault="00D43DAB" w:rsidP="00D43DAB">
      <w:pPr>
        <w:jc w:val="both"/>
        <w:rPr>
          <w:rFonts w:ascii="Arial" w:hAnsi="Arial" w:cs="Arial"/>
          <w:b/>
          <w:bCs/>
          <w:sz w:val="36"/>
          <w:szCs w:val="36"/>
          <w:u w:val="single"/>
        </w:rPr>
      </w:pPr>
      <w:bookmarkStart w:id="0" w:name="_Hlk505587978"/>
      <w:bookmarkStart w:id="1" w:name="_GoBack"/>
      <w:bookmarkEnd w:id="1"/>
      <w:r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r w:rsidRPr="001F182A">
        <w:rPr>
          <w:rFonts w:ascii="Arial" w:hAnsi="Arial" w:cs="Arial"/>
          <w:b/>
          <w:bCs/>
          <w:sz w:val="36"/>
          <w:szCs w:val="36"/>
          <w:u w:val="single"/>
        </w:rPr>
        <w:t xml:space="preserve">10 ans UK </w:t>
      </w:r>
    </w:p>
    <w:p w:rsidR="006E6472" w:rsidRPr="001F182A" w:rsidRDefault="006E6472" w:rsidP="006E6472">
      <w:pPr>
        <w:jc w:val="both"/>
        <w:rPr>
          <w:rFonts w:ascii="Arial" w:hAnsi="Arial" w:cs="Arial"/>
          <w:b/>
          <w:sz w:val="28"/>
          <w:szCs w:val="28"/>
          <w:u w:val="single"/>
        </w:rPr>
      </w:pPr>
      <w:r w:rsidRPr="001F182A">
        <w:rPr>
          <w:rFonts w:ascii="Arial" w:hAnsi="Arial" w:cs="Arial"/>
          <w:b/>
          <w:sz w:val="28"/>
          <w:szCs w:val="28"/>
          <w:u w:val="single"/>
        </w:rPr>
        <w:t>Monthly</w:t>
      </w:r>
    </w:p>
    <w:p w:rsidR="006E6472" w:rsidRPr="001F182A" w:rsidRDefault="003F7686" w:rsidP="00B65AF1">
      <w:pPr>
        <w:ind w:left="-283"/>
        <w:jc w:val="both"/>
        <w:rPr>
          <w:rFonts w:ascii="Arial" w:hAnsi="Arial" w:cs="Arial"/>
          <w:b/>
          <w:bCs/>
        </w:rPr>
      </w:pPr>
      <w:r w:rsidRPr="003F7686">
        <w:rPr>
          <w:rFonts w:ascii="Arial" w:hAnsi="Arial" w:cs="Arial"/>
          <w:b/>
          <w:bCs/>
          <w:noProof/>
        </w:rPr>
        <w:drawing>
          <wp:inline distT="0" distB="0" distL="0" distR="0">
            <wp:extent cx="6645330" cy="4297680"/>
            <wp:effectExtent l="0" t="0" r="3175" b="7620"/>
            <wp:docPr id="8" name="Image 8" descr="C:\Users\EPBFIA~1\AppData\Local\Temp\Bloomberg\temp\bfm436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4368.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405" cy="4298375"/>
                    </a:xfrm>
                    <a:prstGeom prst="rect">
                      <a:avLst/>
                    </a:prstGeom>
                    <a:noFill/>
                    <a:ln>
                      <a:noFill/>
                    </a:ln>
                  </pic:spPr>
                </pic:pic>
              </a:graphicData>
            </a:graphic>
          </wp:inline>
        </w:drawing>
      </w:r>
    </w:p>
    <w:p w:rsidR="00D43DAB" w:rsidRPr="001F182A" w:rsidRDefault="00D43DAB" w:rsidP="00D43DAB">
      <w:pPr>
        <w:jc w:val="both"/>
        <w:rPr>
          <w:rFonts w:ascii="Arial" w:hAnsi="Arial" w:cs="Arial"/>
          <w:b/>
          <w:bCs/>
          <w:sz w:val="28"/>
          <w:szCs w:val="28"/>
          <w:u w:val="single"/>
        </w:rPr>
      </w:pPr>
      <w:r w:rsidRPr="001F182A">
        <w:rPr>
          <w:rFonts w:ascii="Arial" w:hAnsi="Arial" w:cs="Arial"/>
          <w:b/>
          <w:bCs/>
          <w:sz w:val="28"/>
          <w:szCs w:val="28"/>
          <w:u w:val="single"/>
        </w:rPr>
        <w:t>Weekly</w:t>
      </w:r>
    </w:p>
    <w:p w:rsidR="00D43DAB" w:rsidRPr="001F182A" w:rsidRDefault="003F7686" w:rsidP="00B65AF1">
      <w:pPr>
        <w:tabs>
          <w:tab w:val="left" w:pos="4395"/>
        </w:tabs>
        <w:ind w:left="-283"/>
        <w:jc w:val="both"/>
        <w:rPr>
          <w:rFonts w:ascii="Arial" w:hAnsi="Arial" w:cs="Arial"/>
          <w:b/>
          <w:bCs/>
          <w:sz w:val="28"/>
          <w:szCs w:val="28"/>
          <w:u w:val="single"/>
        </w:rPr>
      </w:pPr>
      <w:r w:rsidRPr="003F7686">
        <w:rPr>
          <w:rFonts w:ascii="Arial" w:hAnsi="Arial" w:cs="Arial"/>
          <w:b/>
          <w:bCs/>
          <w:noProof/>
          <w:sz w:val="28"/>
          <w:szCs w:val="28"/>
          <w:u w:val="single"/>
        </w:rPr>
        <w:lastRenderedPageBreak/>
        <w:drawing>
          <wp:inline distT="0" distB="0" distL="0" distR="0">
            <wp:extent cx="6645330" cy="4381500"/>
            <wp:effectExtent l="0" t="0" r="3175" b="0"/>
            <wp:docPr id="9" name="Image 9" descr="C:\Users\EPBFIA~1\AppData\Local\Temp\Bloomberg\temp\bfmB01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B01D.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05" cy="4382209"/>
                    </a:xfrm>
                    <a:prstGeom prst="rect">
                      <a:avLst/>
                    </a:prstGeom>
                    <a:noFill/>
                    <a:ln>
                      <a:noFill/>
                    </a:ln>
                  </pic:spPr>
                </pic:pic>
              </a:graphicData>
            </a:graphic>
          </wp:inline>
        </w:drawing>
      </w:r>
    </w:p>
    <w:p w:rsidR="006E6472" w:rsidRPr="001F182A" w:rsidRDefault="006E6472" w:rsidP="006E6472">
      <w:pPr>
        <w:jc w:val="both"/>
        <w:rPr>
          <w:rFonts w:ascii="Arial" w:hAnsi="Arial" w:cs="Arial"/>
          <w:b/>
          <w:bCs/>
          <w:sz w:val="28"/>
          <w:szCs w:val="28"/>
          <w:u w:val="single"/>
        </w:rPr>
      </w:pPr>
      <w:r w:rsidRPr="001F182A">
        <w:rPr>
          <w:rFonts w:ascii="Arial" w:hAnsi="Arial" w:cs="Arial"/>
          <w:b/>
          <w:bCs/>
          <w:sz w:val="28"/>
          <w:szCs w:val="28"/>
          <w:u w:val="single"/>
        </w:rPr>
        <w:t xml:space="preserve">Daily </w:t>
      </w:r>
    </w:p>
    <w:p w:rsidR="00F5086A" w:rsidRPr="001F182A" w:rsidRDefault="003F7686" w:rsidP="006E6472">
      <w:pPr>
        <w:jc w:val="both"/>
        <w:rPr>
          <w:rFonts w:ascii="Arial" w:hAnsi="Arial" w:cs="Arial"/>
          <w:b/>
          <w:bCs/>
          <w:sz w:val="28"/>
          <w:szCs w:val="28"/>
          <w:u w:val="single"/>
        </w:rPr>
      </w:pPr>
      <w:r w:rsidRPr="003F7686">
        <w:rPr>
          <w:rFonts w:ascii="Arial" w:hAnsi="Arial" w:cs="Arial"/>
          <w:b/>
          <w:bCs/>
          <w:noProof/>
          <w:sz w:val="28"/>
          <w:szCs w:val="28"/>
          <w:u w:val="single"/>
        </w:rPr>
        <w:drawing>
          <wp:inline distT="0" distB="0" distL="0" distR="0">
            <wp:extent cx="6645330" cy="4328160"/>
            <wp:effectExtent l="0" t="0" r="3175" b="0"/>
            <wp:docPr id="10" name="Image 10" descr="C:\Users\EPBFIA~1\AppData\Local\Temp\Bloomberg\temp\bfm1C4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1C45.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240" cy="4328753"/>
                    </a:xfrm>
                    <a:prstGeom prst="rect">
                      <a:avLst/>
                    </a:prstGeom>
                    <a:noFill/>
                    <a:ln>
                      <a:noFill/>
                    </a:ln>
                  </pic:spPr>
                </pic:pic>
              </a:graphicData>
            </a:graphic>
          </wp:inline>
        </w:drawing>
      </w:r>
    </w:p>
    <w:p w:rsidR="00F5086A" w:rsidRPr="005258D6" w:rsidRDefault="00F5086A" w:rsidP="006E6472">
      <w:pPr>
        <w:jc w:val="both"/>
        <w:rPr>
          <w:rFonts w:ascii="Arial" w:hAnsi="Arial" w:cs="Arial"/>
          <w:b/>
          <w:bCs/>
          <w:sz w:val="28"/>
          <w:szCs w:val="28"/>
          <w:u w:val="single"/>
        </w:rPr>
      </w:pPr>
    </w:p>
    <w:p w:rsidR="00A2091D" w:rsidRDefault="005530C2" w:rsidP="00CF690F">
      <w:pPr>
        <w:jc w:val="both"/>
        <w:rPr>
          <w:rFonts w:ascii="Tahoma" w:hAnsi="Tahoma" w:cs="Tahoma"/>
          <w:bCs/>
        </w:rPr>
      </w:pPr>
      <w:r w:rsidRPr="00B52897">
        <w:rPr>
          <w:rFonts w:ascii="Arial" w:hAnsi="Arial" w:cs="Arial"/>
          <w:b/>
          <w:bCs/>
        </w:rPr>
        <w:lastRenderedPageBreak/>
        <w:t>M :</w:t>
      </w:r>
      <w:r w:rsidRPr="00B52897">
        <w:rPr>
          <w:rFonts w:ascii="Tahoma" w:hAnsi="Tahoma" w:cs="Tahoma"/>
          <w:bCs/>
        </w:rPr>
        <w:t xml:space="preserve"> </w:t>
      </w:r>
      <w:r w:rsidR="0038454B">
        <w:rPr>
          <w:rFonts w:ascii="Tahoma" w:hAnsi="Tahoma" w:cs="Tahoma"/>
          <w:bCs/>
        </w:rPr>
        <w:t>L</w:t>
      </w:r>
      <w:r w:rsidR="001675A2">
        <w:rPr>
          <w:rFonts w:ascii="Tahoma" w:hAnsi="Tahoma" w:cs="Tahoma"/>
          <w:bCs/>
        </w:rPr>
        <w:t xml:space="preserve">a borne basse du nuage sert de support sur 1.24. Sur cette unité de temps, les dépassements devront être confirmés par une </w:t>
      </w:r>
      <w:r w:rsidR="00D86D7E">
        <w:rPr>
          <w:rFonts w:ascii="Tahoma" w:hAnsi="Tahoma" w:cs="Tahoma"/>
          <w:bCs/>
        </w:rPr>
        <w:t>clôture</w:t>
      </w:r>
      <w:r w:rsidR="001675A2">
        <w:rPr>
          <w:rFonts w:ascii="Tahoma" w:hAnsi="Tahoma" w:cs="Tahoma"/>
          <w:bCs/>
        </w:rPr>
        <w:t xml:space="preserve"> de fin de mois. Entre temps, le marché peut dépasser temporairement le support. Dans ce contexte, la TS de la </w:t>
      </w:r>
      <w:r w:rsidR="00D86D7E">
        <w:rPr>
          <w:rFonts w:ascii="Tahoma" w:hAnsi="Tahoma" w:cs="Tahoma"/>
          <w:bCs/>
        </w:rPr>
        <w:t>LS sur</w:t>
      </w:r>
      <w:r w:rsidR="001675A2">
        <w:rPr>
          <w:rFonts w:ascii="Tahoma" w:hAnsi="Tahoma" w:cs="Tahoma"/>
          <w:bCs/>
        </w:rPr>
        <w:t xml:space="preserve"> 1.08 servira de support. </w:t>
      </w:r>
      <w:r w:rsidR="0038454B">
        <w:rPr>
          <w:rFonts w:ascii="Tahoma" w:hAnsi="Tahoma" w:cs="Tahoma"/>
          <w:bCs/>
        </w:rPr>
        <w:t xml:space="preserve"> </w:t>
      </w:r>
    </w:p>
    <w:p w:rsidR="00206439" w:rsidRPr="00B52897" w:rsidRDefault="00206439" w:rsidP="00955F8B">
      <w:pPr>
        <w:jc w:val="both"/>
        <w:rPr>
          <w:rFonts w:ascii="Tahoma" w:hAnsi="Tahoma" w:cs="Tahoma"/>
          <w:bCs/>
        </w:rPr>
      </w:pPr>
    </w:p>
    <w:p w:rsidR="00E1265D" w:rsidRDefault="00134724" w:rsidP="002C4B3C">
      <w:pPr>
        <w:jc w:val="both"/>
        <w:rPr>
          <w:rFonts w:ascii="Arial" w:hAnsi="Arial" w:cs="Arial"/>
          <w:bCs/>
        </w:rPr>
      </w:pPr>
      <w:r w:rsidRPr="00F950A8">
        <w:rPr>
          <w:rFonts w:ascii="Arial" w:hAnsi="Arial" w:cs="Arial"/>
          <w:b/>
          <w:bCs/>
        </w:rPr>
        <w:t xml:space="preserve">W : </w:t>
      </w:r>
      <w:r w:rsidR="00C8023C">
        <w:rPr>
          <w:rFonts w:ascii="Arial" w:hAnsi="Arial" w:cs="Arial"/>
          <w:bCs/>
        </w:rPr>
        <w:t>Le taux s’est pos</w:t>
      </w:r>
      <w:r w:rsidR="00B9330D">
        <w:rPr>
          <w:rFonts w:ascii="Arial" w:hAnsi="Arial" w:cs="Arial"/>
          <w:bCs/>
        </w:rPr>
        <w:t>i</w:t>
      </w:r>
      <w:r w:rsidR="00C8023C">
        <w:rPr>
          <w:rFonts w:ascii="Arial" w:hAnsi="Arial" w:cs="Arial"/>
          <w:bCs/>
        </w:rPr>
        <w:t xml:space="preserve">tionné sous son nuage depuis plusieurs semaines. Ce dernier sert actuellement de résistance sur 1.32. </w:t>
      </w:r>
      <w:r w:rsidR="008B1C6B">
        <w:rPr>
          <w:rFonts w:ascii="Arial" w:hAnsi="Arial" w:cs="Arial"/>
          <w:bCs/>
        </w:rPr>
        <w:t xml:space="preserve">La poursuite de la baisse sera conditionnée par une cassure de 1.23 et un maintien du marché sous ce </w:t>
      </w:r>
      <w:r w:rsidR="00FA4DDF">
        <w:rPr>
          <w:rFonts w:ascii="Arial" w:hAnsi="Arial" w:cs="Arial"/>
          <w:bCs/>
        </w:rPr>
        <w:t>point</w:t>
      </w:r>
      <w:r w:rsidR="008B1C6B">
        <w:rPr>
          <w:rFonts w:ascii="Arial" w:hAnsi="Arial" w:cs="Arial"/>
          <w:bCs/>
        </w:rPr>
        <w:t xml:space="preserve"> (support de la LS).</w:t>
      </w:r>
    </w:p>
    <w:p w:rsidR="00D42B38" w:rsidRPr="005F0764" w:rsidRDefault="00D42B38" w:rsidP="002C4B3C">
      <w:pPr>
        <w:jc w:val="both"/>
        <w:rPr>
          <w:rFonts w:ascii="Tahoma" w:hAnsi="Tahoma" w:cs="Tahoma"/>
          <w:bCs/>
        </w:rPr>
      </w:pPr>
      <w:r>
        <w:rPr>
          <w:rFonts w:ascii="Arial" w:hAnsi="Arial" w:cs="Arial"/>
          <w:bCs/>
        </w:rPr>
        <w:t xml:space="preserve">Pour le moment, le twist du nuage futur nous indique la </w:t>
      </w:r>
      <w:r w:rsidR="00577D21">
        <w:rPr>
          <w:rFonts w:ascii="Arial" w:hAnsi="Arial" w:cs="Arial"/>
          <w:bCs/>
        </w:rPr>
        <w:t>fin du mouvement haussier avec une forte probabilité d’entrer dans une phase de consolidation. Cette zone sans tendance sera comprise entre 1.23 et 1.72.</w:t>
      </w:r>
    </w:p>
    <w:p w:rsidR="00592CE7" w:rsidRPr="00E6336C" w:rsidRDefault="00592CE7" w:rsidP="00134724">
      <w:pPr>
        <w:jc w:val="both"/>
        <w:rPr>
          <w:rFonts w:ascii="Tahoma" w:hAnsi="Tahoma" w:cs="Tahoma"/>
          <w:bCs/>
        </w:rPr>
      </w:pPr>
    </w:p>
    <w:p w:rsidR="009A7CC8" w:rsidRPr="00E72900" w:rsidRDefault="00591EF8" w:rsidP="002C4B3C">
      <w:pPr>
        <w:jc w:val="both"/>
        <w:rPr>
          <w:rFonts w:ascii="Tahoma" w:hAnsi="Tahoma" w:cs="Tahoma"/>
          <w:bCs/>
        </w:rPr>
      </w:pPr>
      <w:r>
        <w:rPr>
          <w:rFonts w:ascii="Arial" w:hAnsi="Arial" w:cs="Arial"/>
          <w:b/>
          <w:bCs/>
        </w:rPr>
        <w:t xml:space="preserve">D : </w:t>
      </w:r>
      <w:r w:rsidR="00E72900">
        <w:rPr>
          <w:rFonts w:ascii="Arial" w:hAnsi="Arial" w:cs="Arial"/>
          <w:bCs/>
        </w:rPr>
        <w:t xml:space="preserve">Taux </w:t>
      </w:r>
      <w:r w:rsidR="001620BC">
        <w:rPr>
          <w:rFonts w:ascii="Arial" w:hAnsi="Arial" w:cs="Arial"/>
          <w:bCs/>
        </w:rPr>
        <w:t xml:space="preserve">et LS évoluent sous leur nuage dans un environnement baissier. L’orientation des courbes et du nuage futur indiquent que le marché évolue sans tendance entre un bas à 1.15 et un haut à 1.33. Ce développement renforce l’idée d’une consolidation évoquée sur l’unité de temps supérieure. </w:t>
      </w:r>
    </w:p>
    <w:p w:rsidR="00B90B86" w:rsidRDefault="00B90B86" w:rsidP="00EB112D">
      <w:pPr>
        <w:jc w:val="both"/>
        <w:rPr>
          <w:rFonts w:ascii="Tahoma" w:hAnsi="Tahoma" w:cs="Tahoma"/>
          <w:bCs/>
        </w:rPr>
      </w:pPr>
    </w:p>
    <w:p w:rsidR="00E6550D" w:rsidRPr="00C955D5" w:rsidRDefault="00E6550D" w:rsidP="005530C2">
      <w:pPr>
        <w:jc w:val="both"/>
        <w:rPr>
          <w:rFonts w:ascii="Arial" w:hAnsi="Arial" w:cs="Arial"/>
          <w:color w:val="FF0000"/>
        </w:rPr>
      </w:pPr>
    </w:p>
    <w:p w:rsidR="001620BC" w:rsidRDefault="005530C2" w:rsidP="008B5D81">
      <w:pPr>
        <w:jc w:val="both"/>
        <w:rPr>
          <w:rFonts w:ascii="Arial" w:hAnsi="Arial" w:cs="Arial"/>
          <w:b/>
          <w:color w:val="00B050"/>
        </w:rPr>
      </w:pPr>
      <w:r w:rsidRPr="008B5D81">
        <w:rPr>
          <w:rFonts w:ascii="Arial" w:hAnsi="Arial" w:cs="Arial"/>
          <w:b/>
          <w:color w:val="00B050"/>
          <w:u w:val="single"/>
        </w:rPr>
        <w:t>HEBDOMADAIRE</w:t>
      </w:r>
      <w:r w:rsidR="00B124E0" w:rsidRPr="008B5D81">
        <w:rPr>
          <w:rFonts w:ascii="Arial" w:hAnsi="Arial" w:cs="Arial"/>
          <w:b/>
          <w:color w:val="00B050"/>
        </w:rPr>
        <w:t xml:space="preserve"> : </w:t>
      </w:r>
      <w:r w:rsidR="009D0F9C">
        <w:rPr>
          <w:rFonts w:ascii="Arial" w:hAnsi="Arial" w:cs="Arial"/>
          <w:b/>
          <w:color w:val="00B050"/>
        </w:rPr>
        <w:t>1.24 servira de pivot au cours</w:t>
      </w:r>
      <w:r w:rsidR="001620BC">
        <w:rPr>
          <w:rFonts w:ascii="Arial" w:hAnsi="Arial" w:cs="Arial"/>
          <w:b/>
          <w:color w:val="00B050"/>
        </w:rPr>
        <w:t xml:space="preserve"> du mois. A la baisse, le 1</w:t>
      </w:r>
      <w:r w:rsidR="001620BC" w:rsidRPr="001620BC">
        <w:rPr>
          <w:rFonts w:ascii="Arial" w:hAnsi="Arial" w:cs="Arial"/>
          <w:b/>
          <w:color w:val="00B050"/>
          <w:vertAlign w:val="superscript"/>
        </w:rPr>
        <w:t>er</w:t>
      </w:r>
      <w:r w:rsidR="001620BC">
        <w:rPr>
          <w:rFonts w:ascii="Arial" w:hAnsi="Arial" w:cs="Arial"/>
          <w:b/>
          <w:color w:val="00B050"/>
        </w:rPr>
        <w:t xml:space="preserve"> support se situera sur 1.15 et le second sur 1.08. A la hausse, 1.33 puis 1.45.</w:t>
      </w:r>
    </w:p>
    <w:p w:rsidR="00990006" w:rsidRPr="008B5D81" w:rsidRDefault="001620BC" w:rsidP="008B5D81">
      <w:pPr>
        <w:jc w:val="both"/>
        <w:rPr>
          <w:rFonts w:ascii="Arial" w:hAnsi="Arial" w:cs="Arial"/>
          <w:b/>
          <w:color w:val="00B050"/>
        </w:rPr>
      </w:pPr>
      <w:r>
        <w:rPr>
          <w:rFonts w:ascii="Arial" w:hAnsi="Arial" w:cs="Arial"/>
          <w:b/>
          <w:color w:val="00B050"/>
        </w:rPr>
        <w:t xml:space="preserve">Le développement graphique des courbes Ichimoku avantage la consolidation. </w:t>
      </w:r>
    </w:p>
    <w:p w:rsidR="00A079AF" w:rsidRPr="002C4B3C" w:rsidRDefault="00A079AF" w:rsidP="00BE257A">
      <w:pPr>
        <w:jc w:val="both"/>
        <w:rPr>
          <w:rFonts w:ascii="Arial" w:hAnsi="Arial" w:cs="Arial"/>
          <w:b/>
          <w:color w:val="FF0000"/>
        </w:rPr>
      </w:pPr>
    </w:p>
    <w:p w:rsidR="002658AF" w:rsidRDefault="002658AF" w:rsidP="00BE257A">
      <w:pPr>
        <w:jc w:val="both"/>
        <w:rPr>
          <w:rFonts w:ascii="Arial" w:hAnsi="Arial" w:cs="Arial"/>
          <w:b/>
          <w:color w:val="00B050"/>
        </w:rPr>
      </w:pPr>
    </w:p>
    <w:p w:rsidR="002658AF" w:rsidRDefault="002658AF" w:rsidP="00BE257A">
      <w:pPr>
        <w:jc w:val="both"/>
        <w:rPr>
          <w:rFonts w:ascii="Arial" w:hAnsi="Arial" w:cs="Arial"/>
          <w:b/>
          <w:color w:val="00B050"/>
        </w:rPr>
      </w:pPr>
    </w:p>
    <w:p w:rsidR="00E91CB0" w:rsidRDefault="00E91CB0" w:rsidP="00BE257A">
      <w:pPr>
        <w:jc w:val="both"/>
        <w:rPr>
          <w:rFonts w:ascii="Arial" w:hAnsi="Arial" w:cs="Arial"/>
          <w:b/>
          <w:color w:val="00B050"/>
        </w:rPr>
      </w:pPr>
    </w:p>
    <w:p w:rsidR="009D0F9C" w:rsidRDefault="009D0F9C" w:rsidP="00BE257A">
      <w:pPr>
        <w:jc w:val="both"/>
        <w:rPr>
          <w:rFonts w:ascii="Arial" w:hAnsi="Arial" w:cs="Arial"/>
          <w:b/>
          <w:color w:val="00B0F0"/>
        </w:rPr>
      </w:pPr>
    </w:p>
    <w:p w:rsidR="00F72829" w:rsidRPr="00423E08" w:rsidRDefault="00F72829" w:rsidP="00BE257A">
      <w:pPr>
        <w:jc w:val="both"/>
        <w:rPr>
          <w:rFonts w:ascii="Arial" w:hAnsi="Arial" w:cs="Arial"/>
          <w:b/>
          <w:bCs/>
          <w:sz w:val="36"/>
          <w:szCs w:val="36"/>
          <w:u w:val="single"/>
          <w:lang w:val="en-US"/>
        </w:rPr>
      </w:pPr>
      <w:r w:rsidRPr="00A31477">
        <w:rPr>
          <w:rFonts w:ascii="Arial" w:hAnsi="Arial" w:cs="Arial"/>
          <w:b/>
          <w:bCs/>
          <w:color w:val="FF0000"/>
          <w:sz w:val="28"/>
          <w:szCs w:val="28"/>
        </w:rPr>
        <w:t xml:space="preserve">                         </w:t>
      </w:r>
      <w:r w:rsidR="006D7DCD" w:rsidRPr="00A31477">
        <w:rPr>
          <w:rFonts w:ascii="Arial" w:hAnsi="Arial" w:cs="Arial"/>
          <w:b/>
          <w:bCs/>
          <w:color w:val="FF0000"/>
          <w:sz w:val="28"/>
          <w:szCs w:val="28"/>
        </w:rPr>
        <w:t xml:space="preserve">         </w:t>
      </w:r>
      <w:r w:rsidR="00730480">
        <w:rPr>
          <w:rFonts w:ascii="Arial" w:hAnsi="Arial" w:cs="Arial"/>
          <w:bCs/>
          <w:color w:val="FF0000"/>
          <w:sz w:val="28"/>
          <w:szCs w:val="28"/>
        </w:rPr>
        <w:t xml:space="preserve">            </w:t>
      </w:r>
      <w:r w:rsidRPr="00423E08">
        <w:rPr>
          <w:rFonts w:ascii="Arial" w:hAnsi="Arial" w:cs="Arial"/>
          <w:b/>
          <w:bCs/>
          <w:sz w:val="36"/>
          <w:szCs w:val="36"/>
          <w:u w:val="single"/>
          <w:lang w:val="en-US"/>
        </w:rPr>
        <w:t xml:space="preserve">10 ans </w:t>
      </w:r>
      <w:r w:rsidR="00A2391D" w:rsidRPr="00423E08">
        <w:rPr>
          <w:rFonts w:ascii="Arial" w:hAnsi="Arial" w:cs="Arial"/>
          <w:b/>
          <w:bCs/>
          <w:sz w:val="36"/>
          <w:szCs w:val="36"/>
          <w:u w:val="single"/>
          <w:lang w:val="en-US"/>
        </w:rPr>
        <w:t>JP</w:t>
      </w:r>
      <w:r w:rsidRPr="00423E08">
        <w:rPr>
          <w:rFonts w:ascii="Arial" w:hAnsi="Arial" w:cs="Arial"/>
          <w:b/>
          <w:bCs/>
          <w:sz w:val="36"/>
          <w:szCs w:val="36"/>
          <w:u w:val="single"/>
          <w:lang w:val="en-US"/>
        </w:rPr>
        <w:t xml:space="preserve"> </w:t>
      </w:r>
      <w:r w:rsidRPr="00423E08">
        <w:rPr>
          <w:rFonts w:ascii="Arial" w:hAnsi="Arial" w:cs="Arial"/>
          <w:b/>
          <w:i/>
          <w:lang w:val="en-US"/>
        </w:rPr>
        <w:t xml:space="preserve">                             </w:t>
      </w:r>
    </w:p>
    <w:p w:rsidR="008F1539" w:rsidRPr="00423E08" w:rsidRDefault="008F1539" w:rsidP="008F1539">
      <w:pPr>
        <w:jc w:val="both"/>
        <w:rPr>
          <w:rFonts w:ascii="Arial" w:hAnsi="Arial" w:cs="Arial"/>
          <w:b/>
          <w:bCs/>
          <w:sz w:val="28"/>
          <w:szCs w:val="28"/>
          <w:u w:val="single"/>
          <w:lang w:val="en-US"/>
        </w:rPr>
      </w:pPr>
      <w:r w:rsidRPr="00423E08">
        <w:rPr>
          <w:rFonts w:ascii="Arial" w:hAnsi="Arial" w:cs="Arial"/>
          <w:b/>
          <w:bCs/>
          <w:sz w:val="28"/>
          <w:szCs w:val="28"/>
          <w:u w:val="single"/>
          <w:lang w:val="en-US"/>
        </w:rPr>
        <w:t>Monthly</w:t>
      </w:r>
    </w:p>
    <w:p w:rsidR="00F72829" w:rsidRPr="00423E08" w:rsidRDefault="003F7686" w:rsidP="00B65AF1">
      <w:pPr>
        <w:ind w:left="-283"/>
        <w:jc w:val="both"/>
        <w:rPr>
          <w:rFonts w:ascii="Arial" w:hAnsi="Arial" w:cs="Arial"/>
          <w:b/>
          <w:bCs/>
          <w:color w:val="FF0000"/>
          <w:sz w:val="28"/>
          <w:szCs w:val="28"/>
          <w:u w:val="single"/>
          <w:lang w:val="en-US"/>
        </w:rPr>
      </w:pPr>
      <w:r w:rsidRPr="003F7686">
        <w:rPr>
          <w:rFonts w:ascii="Arial" w:hAnsi="Arial" w:cs="Arial"/>
          <w:b/>
          <w:bCs/>
          <w:noProof/>
          <w:color w:val="FF0000"/>
          <w:sz w:val="28"/>
          <w:szCs w:val="28"/>
          <w:u w:val="single"/>
        </w:rPr>
        <w:drawing>
          <wp:inline distT="0" distB="0" distL="0" distR="0">
            <wp:extent cx="6645330" cy="4221480"/>
            <wp:effectExtent l="0" t="0" r="3175" b="7620"/>
            <wp:docPr id="11" name="Image 11" descr="C:\Users\EPBFIA~1\AppData\Local\Temp\Bloomberg\temp\bfmB27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B27C.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05" cy="4222163"/>
                    </a:xfrm>
                    <a:prstGeom prst="rect">
                      <a:avLst/>
                    </a:prstGeom>
                    <a:noFill/>
                    <a:ln>
                      <a:noFill/>
                    </a:ln>
                  </pic:spPr>
                </pic:pic>
              </a:graphicData>
            </a:graphic>
          </wp:inline>
        </w:drawing>
      </w:r>
    </w:p>
    <w:p w:rsidR="00F72829" w:rsidRPr="00423E08" w:rsidRDefault="00F72829" w:rsidP="00F72829">
      <w:pPr>
        <w:jc w:val="both"/>
        <w:rPr>
          <w:rFonts w:ascii="Arial" w:hAnsi="Arial" w:cs="Arial"/>
          <w:b/>
          <w:bCs/>
          <w:sz w:val="28"/>
          <w:szCs w:val="28"/>
          <w:u w:val="single"/>
          <w:lang w:val="en-US"/>
        </w:rPr>
      </w:pPr>
      <w:r w:rsidRPr="00423E08">
        <w:rPr>
          <w:rFonts w:ascii="Arial" w:hAnsi="Arial" w:cs="Arial"/>
          <w:b/>
          <w:bCs/>
          <w:sz w:val="28"/>
          <w:szCs w:val="28"/>
          <w:u w:val="single"/>
          <w:lang w:val="en-US"/>
        </w:rPr>
        <w:lastRenderedPageBreak/>
        <w:t>Weekly</w:t>
      </w:r>
    </w:p>
    <w:p w:rsidR="008F1539" w:rsidRPr="00423E08" w:rsidRDefault="003F7686" w:rsidP="00B65AF1">
      <w:pPr>
        <w:autoSpaceDE w:val="0"/>
        <w:autoSpaceDN w:val="0"/>
        <w:adjustRightInd w:val="0"/>
        <w:ind w:left="-283"/>
        <w:jc w:val="both"/>
        <w:rPr>
          <w:rFonts w:ascii="Arial" w:hAnsi="Arial" w:cs="Arial"/>
          <w:lang w:val="en-US"/>
        </w:rPr>
      </w:pPr>
      <w:r w:rsidRPr="003F7686">
        <w:rPr>
          <w:rFonts w:ascii="Arial" w:hAnsi="Arial" w:cs="Arial"/>
          <w:noProof/>
        </w:rPr>
        <w:drawing>
          <wp:inline distT="0" distB="0" distL="0" distR="0">
            <wp:extent cx="6645330" cy="4290060"/>
            <wp:effectExtent l="0" t="0" r="3175" b="0"/>
            <wp:docPr id="12" name="Image 12" descr="C:\Users\EPBFIA~1\AppData\Local\Temp\Bloomberg\temp\bfm85B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85BC.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735" cy="4290967"/>
                    </a:xfrm>
                    <a:prstGeom prst="rect">
                      <a:avLst/>
                    </a:prstGeom>
                    <a:noFill/>
                    <a:ln>
                      <a:noFill/>
                    </a:ln>
                  </pic:spPr>
                </pic:pic>
              </a:graphicData>
            </a:graphic>
          </wp:inline>
        </w:drawing>
      </w:r>
    </w:p>
    <w:p w:rsidR="00A404A8" w:rsidRPr="00423E08" w:rsidRDefault="00A404A8" w:rsidP="00B65AF1">
      <w:pPr>
        <w:autoSpaceDE w:val="0"/>
        <w:autoSpaceDN w:val="0"/>
        <w:adjustRightInd w:val="0"/>
        <w:ind w:left="-283"/>
        <w:jc w:val="both"/>
        <w:rPr>
          <w:rFonts w:ascii="Arial" w:hAnsi="Arial" w:cs="Arial"/>
          <w:lang w:val="en-US"/>
        </w:rPr>
      </w:pPr>
    </w:p>
    <w:p w:rsidR="00ED1495" w:rsidRPr="00423E08" w:rsidRDefault="00AB09C6" w:rsidP="00E81EBB">
      <w:pPr>
        <w:autoSpaceDE w:val="0"/>
        <w:autoSpaceDN w:val="0"/>
        <w:adjustRightInd w:val="0"/>
        <w:ind w:left="-850"/>
        <w:jc w:val="both"/>
        <w:rPr>
          <w:rFonts w:ascii="Arial" w:hAnsi="Arial" w:cs="Arial"/>
          <w:b/>
          <w:bCs/>
          <w:sz w:val="28"/>
          <w:szCs w:val="28"/>
          <w:u w:val="single"/>
          <w:lang w:val="en-US"/>
        </w:rPr>
      </w:pPr>
      <w:r w:rsidRPr="00423E08">
        <w:rPr>
          <w:rFonts w:ascii="Arial" w:hAnsi="Arial" w:cs="Arial"/>
          <w:b/>
          <w:bCs/>
          <w:sz w:val="28"/>
          <w:szCs w:val="28"/>
          <w:lang w:val="en-US"/>
        </w:rPr>
        <w:t xml:space="preserve">           </w:t>
      </w:r>
      <w:r w:rsidR="008F1539" w:rsidRPr="00423E08">
        <w:rPr>
          <w:rFonts w:ascii="Arial" w:hAnsi="Arial" w:cs="Arial"/>
          <w:b/>
          <w:bCs/>
          <w:sz w:val="28"/>
          <w:szCs w:val="28"/>
          <w:u w:val="single"/>
          <w:lang w:val="en-US"/>
        </w:rPr>
        <w:t>Daily</w:t>
      </w:r>
    </w:p>
    <w:p w:rsidR="00AD48B7" w:rsidRPr="00423E08" w:rsidRDefault="003F7686" w:rsidP="002658AF">
      <w:pPr>
        <w:autoSpaceDE w:val="0"/>
        <w:autoSpaceDN w:val="0"/>
        <w:adjustRightInd w:val="0"/>
        <w:ind w:left="-283"/>
        <w:jc w:val="both"/>
        <w:rPr>
          <w:rFonts w:ascii="Arial" w:hAnsi="Arial" w:cs="Arial"/>
          <w:lang w:val="en-US"/>
        </w:rPr>
      </w:pPr>
      <w:r w:rsidRPr="003F7686">
        <w:rPr>
          <w:rFonts w:ascii="Arial" w:hAnsi="Arial" w:cs="Arial"/>
          <w:noProof/>
        </w:rPr>
        <w:drawing>
          <wp:inline distT="0" distB="0" distL="0" distR="0">
            <wp:extent cx="6645330" cy="4236720"/>
            <wp:effectExtent l="0" t="0" r="3175" b="0"/>
            <wp:docPr id="13" name="Image 13" descr="C:\Users\EPBFIA~1\AppData\Local\Temp\Bloomberg\temp\bfm14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140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40" cy="4237300"/>
                    </a:xfrm>
                    <a:prstGeom prst="rect">
                      <a:avLst/>
                    </a:prstGeom>
                    <a:noFill/>
                    <a:ln>
                      <a:noFill/>
                    </a:ln>
                  </pic:spPr>
                </pic:pic>
              </a:graphicData>
            </a:graphic>
          </wp:inline>
        </w:drawing>
      </w:r>
    </w:p>
    <w:p w:rsidR="00456985" w:rsidRPr="00423E08" w:rsidRDefault="00456985" w:rsidP="00E81EBB">
      <w:pPr>
        <w:autoSpaceDE w:val="0"/>
        <w:autoSpaceDN w:val="0"/>
        <w:adjustRightInd w:val="0"/>
        <w:ind w:left="-283"/>
        <w:jc w:val="both"/>
        <w:rPr>
          <w:rFonts w:ascii="Arial" w:hAnsi="Arial" w:cs="Arial"/>
          <w:lang w:val="en-US"/>
        </w:rPr>
      </w:pPr>
    </w:p>
    <w:p w:rsidR="00456985" w:rsidRDefault="0034170D" w:rsidP="00CF690F">
      <w:pPr>
        <w:jc w:val="both"/>
        <w:rPr>
          <w:rFonts w:ascii="Tahoma" w:hAnsi="Tahoma" w:cs="Tahoma"/>
          <w:bCs/>
        </w:rPr>
      </w:pPr>
      <w:r w:rsidRPr="00D724BF">
        <w:rPr>
          <w:rFonts w:ascii="Arial" w:hAnsi="Arial" w:cs="Arial"/>
          <w:b/>
          <w:bCs/>
        </w:rPr>
        <w:t>M :</w:t>
      </w:r>
      <w:r w:rsidRPr="00D724BF">
        <w:rPr>
          <w:rFonts w:ascii="Tahoma" w:hAnsi="Tahoma" w:cs="Tahoma"/>
          <w:bCs/>
        </w:rPr>
        <w:t xml:space="preserve"> </w:t>
      </w:r>
      <w:r w:rsidR="00847162">
        <w:rPr>
          <w:rFonts w:ascii="Tahoma" w:hAnsi="Tahoma" w:cs="Tahoma"/>
          <w:bCs/>
        </w:rPr>
        <w:t>L</w:t>
      </w:r>
      <w:r w:rsidR="00456985">
        <w:rPr>
          <w:rFonts w:ascii="Tahoma" w:hAnsi="Tahoma" w:cs="Tahoma"/>
          <w:bCs/>
        </w:rPr>
        <w:t>a rupture de la borne basse du nuage de 0.016 pour janvier permettra d’exclure la hausse tant que ce point servira de résistance. Cette cassure devra être confirmée en fin de mois par un maintien du taux sous la SSA de 0.016.</w:t>
      </w:r>
    </w:p>
    <w:p w:rsidR="00847162" w:rsidRDefault="00456985" w:rsidP="00CF690F">
      <w:pPr>
        <w:jc w:val="both"/>
        <w:rPr>
          <w:rFonts w:ascii="Tahoma" w:hAnsi="Tahoma" w:cs="Tahoma"/>
          <w:bCs/>
        </w:rPr>
      </w:pPr>
      <w:r>
        <w:rPr>
          <w:rFonts w:ascii="Tahoma" w:hAnsi="Tahoma" w:cs="Tahoma"/>
          <w:bCs/>
        </w:rPr>
        <w:t>La LS peut ainsi profiter de l’espace libre pour venir chercher son support matérialisé par une TS sur -0.12.</w:t>
      </w:r>
      <w:r w:rsidR="00847162">
        <w:rPr>
          <w:rFonts w:ascii="Tahoma" w:hAnsi="Tahoma" w:cs="Tahoma"/>
          <w:bCs/>
        </w:rPr>
        <w:t xml:space="preserve"> </w:t>
      </w:r>
    </w:p>
    <w:p w:rsidR="0034170D" w:rsidRPr="00984DC8" w:rsidRDefault="0034170D" w:rsidP="0034170D">
      <w:pPr>
        <w:jc w:val="both"/>
        <w:rPr>
          <w:rFonts w:ascii="Tahoma" w:hAnsi="Tahoma" w:cs="Tahoma"/>
          <w:bCs/>
          <w:color w:val="FF0000"/>
        </w:rPr>
      </w:pPr>
      <w:r w:rsidRPr="00984DC8">
        <w:rPr>
          <w:rFonts w:ascii="Tahoma" w:hAnsi="Tahoma" w:cs="Tahoma"/>
          <w:bCs/>
          <w:color w:val="FF0000"/>
        </w:rPr>
        <w:t xml:space="preserve">  </w:t>
      </w:r>
    </w:p>
    <w:p w:rsidR="000E0A8B" w:rsidRDefault="0034170D" w:rsidP="00CF690F">
      <w:pPr>
        <w:jc w:val="both"/>
        <w:rPr>
          <w:rFonts w:ascii="Arial" w:hAnsi="Arial" w:cs="Arial"/>
          <w:bCs/>
        </w:rPr>
      </w:pPr>
      <w:r w:rsidRPr="00D724BF">
        <w:rPr>
          <w:rFonts w:ascii="Arial" w:hAnsi="Arial" w:cs="Arial"/>
          <w:b/>
          <w:bCs/>
        </w:rPr>
        <w:t xml:space="preserve">W : </w:t>
      </w:r>
      <w:r w:rsidR="00A8624D">
        <w:rPr>
          <w:rFonts w:ascii="Arial" w:hAnsi="Arial" w:cs="Arial"/>
          <w:bCs/>
        </w:rPr>
        <w:t>L</w:t>
      </w:r>
      <w:r w:rsidR="00BE1A77">
        <w:rPr>
          <w:rFonts w:ascii="Arial" w:hAnsi="Arial" w:cs="Arial"/>
          <w:bCs/>
        </w:rPr>
        <w:t>a rupture du nuage par le taux et par la LS avantage le biais baissier. L’orientation du nuage futur renforce cette vue.</w:t>
      </w:r>
    </w:p>
    <w:p w:rsidR="00BE1A77" w:rsidRDefault="00BE1A77" w:rsidP="00CF690F">
      <w:pPr>
        <w:jc w:val="both"/>
        <w:rPr>
          <w:rFonts w:ascii="Tahoma" w:hAnsi="Tahoma" w:cs="Tahoma"/>
          <w:bCs/>
        </w:rPr>
      </w:pPr>
      <w:r>
        <w:rPr>
          <w:rFonts w:ascii="Arial" w:hAnsi="Arial" w:cs="Arial"/>
          <w:bCs/>
        </w:rPr>
        <w:t>Dans ce contexte, le nuage servira de résistance dans cet environnement baissier</w:t>
      </w:r>
      <w:r w:rsidR="00E02F3C">
        <w:rPr>
          <w:rFonts w:ascii="Arial" w:hAnsi="Arial" w:cs="Arial"/>
          <w:bCs/>
        </w:rPr>
        <w:t xml:space="preserve"> sur 0.05.</w:t>
      </w:r>
    </w:p>
    <w:p w:rsidR="00243A7F" w:rsidRDefault="00243A7F" w:rsidP="0034170D">
      <w:pPr>
        <w:jc w:val="both"/>
        <w:rPr>
          <w:rFonts w:ascii="Tahoma" w:hAnsi="Tahoma" w:cs="Tahoma"/>
          <w:bCs/>
        </w:rPr>
      </w:pPr>
    </w:p>
    <w:p w:rsidR="00243A7F" w:rsidRPr="00252295" w:rsidRDefault="00243A7F" w:rsidP="0034170D">
      <w:pPr>
        <w:jc w:val="both"/>
        <w:rPr>
          <w:rFonts w:ascii="Tahoma" w:hAnsi="Tahoma" w:cs="Tahoma"/>
          <w:bCs/>
        </w:rPr>
      </w:pPr>
    </w:p>
    <w:p w:rsidR="001F298B" w:rsidRPr="001F298B" w:rsidRDefault="0034170D" w:rsidP="00847162">
      <w:pPr>
        <w:jc w:val="both"/>
        <w:rPr>
          <w:rFonts w:ascii="Arial" w:hAnsi="Arial" w:cs="Arial"/>
          <w:bCs/>
        </w:rPr>
      </w:pPr>
      <w:r w:rsidRPr="00D724BF">
        <w:rPr>
          <w:rFonts w:ascii="Arial" w:hAnsi="Arial" w:cs="Arial"/>
          <w:b/>
          <w:bCs/>
        </w:rPr>
        <w:t xml:space="preserve">D : </w:t>
      </w:r>
      <w:r w:rsidR="00023A5C">
        <w:rPr>
          <w:rFonts w:ascii="Arial" w:hAnsi="Arial" w:cs="Arial"/>
          <w:bCs/>
        </w:rPr>
        <w:t>L</w:t>
      </w:r>
      <w:r w:rsidR="00A02FDE">
        <w:rPr>
          <w:rFonts w:ascii="Arial" w:hAnsi="Arial" w:cs="Arial"/>
          <w:bCs/>
        </w:rPr>
        <w:t xml:space="preserve">’environnement </w:t>
      </w:r>
      <w:r w:rsidR="00E909B4">
        <w:rPr>
          <w:rFonts w:ascii="Arial" w:hAnsi="Arial" w:cs="Arial"/>
          <w:bCs/>
        </w:rPr>
        <w:t xml:space="preserve">est </w:t>
      </w:r>
      <w:r w:rsidR="00A02FDE">
        <w:rPr>
          <w:rFonts w:ascii="Arial" w:hAnsi="Arial" w:cs="Arial"/>
          <w:bCs/>
        </w:rPr>
        <w:t xml:space="preserve">baissier </w:t>
      </w:r>
      <w:r w:rsidR="00E909B4">
        <w:rPr>
          <w:rFonts w:ascii="Arial" w:hAnsi="Arial" w:cs="Arial"/>
          <w:bCs/>
        </w:rPr>
        <w:t>sur le</w:t>
      </w:r>
      <w:r w:rsidR="00A02FDE">
        <w:rPr>
          <w:rFonts w:ascii="Arial" w:hAnsi="Arial" w:cs="Arial"/>
          <w:bCs/>
        </w:rPr>
        <w:t xml:space="preserve"> court terme</w:t>
      </w:r>
      <w:r w:rsidR="00E909B4">
        <w:rPr>
          <w:rFonts w:ascii="Arial" w:hAnsi="Arial" w:cs="Arial"/>
          <w:bCs/>
        </w:rPr>
        <w:t>. L’</w:t>
      </w:r>
      <w:r w:rsidR="001675A2">
        <w:rPr>
          <w:rFonts w:ascii="Arial" w:hAnsi="Arial" w:cs="Arial"/>
          <w:bCs/>
        </w:rPr>
        <w:t>écart</w:t>
      </w:r>
      <w:r w:rsidR="00E909B4">
        <w:rPr>
          <w:rFonts w:ascii="Arial" w:hAnsi="Arial" w:cs="Arial"/>
          <w:bCs/>
        </w:rPr>
        <w:t xml:space="preserve"> excessif entre le taux et la TS demande à être réduit.</w:t>
      </w:r>
      <w:r w:rsidR="00261B82">
        <w:rPr>
          <w:rFonts w:ascii="Arial" w:hAnsi="Arial" w:cs="Arial"/>
          <w:bCs/>
        </w:rPr>
        <w:t xml:space="preserve"> Il traduit un contexte sur tendu. Un retour sur la TS actuellement à 0.00 permettra d’atténuer les tensions et d’envisager une poursuite de la baisse.</w:t>
      </w:r>
      <w:r w:rsidR="00A02FDE">
        <w:rPr>
          <w:rFonts w:ascii="Arial" w:hAnsi="Arial" w:cs="Arial"/>
          <w:bCs/>
        </w:rPr>
        <w:t xml:space="preserve"> </w:t>
      </w:r>
    </w:p>
    <w:p w:rsidR="00EB112D" w:rsidRDefault="00EB112D" w:rsidP="0034170D">
      <w:pPr>
        <w:jc w:val="both"/>
        <w:rPr>
          <w:rFonts w:ascii="Arial" w:hAnsi="Arial" w:cs="Arial"/>
          <w:b/>
          <w:bCs/>
        </w:rPr>
      </w:pPr>
    </w:p>
    <w:p w:rsidR="00EB112D" w:rsidRPr="002C4B3C" w:rsidRDefault="00EB112D" w:rsidP="0034170D">
      <w:pPr>
        <w:jc w:val="both"/>
        <w:rPr>
          <w:rFonts w:ascii="Arial" w:hAnsi="Arial" w:cs="Arial"/>
          <w:color w:val="FF0000"/>
        </w:rPr>
      </w:pPr>
    </w:p>
    <w:p w:rsidR="00F8001F" w:rsidRPr="002658AF" w:rsidRDefault="0034170D" w:rsidP="00292AF0">
      <w:pPr>
        <w:jc w:val="both"/>
        <w:rPr>
          <w:rFonts w:ascii="Arial" w:hAnsi="Arial" w:cs="Arial"/>
          <w:b/>
          <w:color w:val="00B050"/>
        </w:rPr>
      </w:pPr>
      <w:r w:rsidRPr="001F298B">
        <w:rPr>
          <w:rFonts w:ascii="Arial" w:hAnsi="Arial" w:cs="Arial"/>
          <w:b/>
          <w:color w:val="00B050"/>
          <w:u w:val="single"/>
        </w:rPr>
        <w:t>HEBDOMADAIRE</w:t>
      </w:r>
      <w:r w:rsidRPr="001F298B">
        <w:rPr>
          <w:rFonts w:ascii="Arial" w:hAnsi="Arial" w:cs="Arial"/>
          <w:b/>
          <w:color w:val="00B050"/>
        </w:rPr>
        <w:t xml:space="preserve"> : </w:t>
      </w:r>
      <w:r w:rsidR="00A4169A">
        <w:rPr>
          <w:rFonts w:ascii="Arial" w:hAnsi="Arial" w:cs="Arial"/>
          <w:b/>
          <w:color w:val="00B050"/>
        </w:rPr>
        <w:t>C</w:t>
      </w:r>
      <w:r w:rsidR="001F298B" w:rsidRPr="001F298B">
        <w:rPr>
          <w:rFonts w:ascii="Arial" w:hAnsi="Arial" w:cs="Arial"/>
          <w:b/>
          <w:color w:val="00B050"/>
        </w:rPr>
        <w:t>ontexte</w:t>
      </w:r>
      <w:r w:rsidR="00E127D4">
        <w:rPr>
          <w:rFonts w:ascii="Arial" w:hAnsi="Arial" w:cs="Arial"/>
          <w:b/>
          <w:color w:val="00B050"/>
        </w:rPr>
        <w:t xml:space="preserve"> baissier sur le 10 ans JP. En tenue du taux sous 0.016, le marché s’orientera vers son support de -0.12. Mais le contexte sur tendu de court terme avantage la correction avant de voir le taux repartir à la baisse.</w:t>
      </w:r>
      <w:r w:rsidR="00F8001F">
        <w:rPr>
          <w:rFonts w:ascii="Arial" w:hAnsi="Arial" w:cs="Arial"/>
          <w:b/>
          <w:bCs/>
          <w:sz w:val="36"/>
          <w:szCs w:val="36"/>
        </w:rPr>
        <w:t xml:space="preserve">        </w:t>
      </w:r>
    </w:p>
    <w:p w:rsidR="00E81EBB" w:rsidRDefault="00E81EBB" w:rsidP="00292AF0">
      <w:pPr>
        <w:jc w:val="both"/>
        <w:rPr>
          <w:rFonts w:ascii="Arial" w:hAnsi="Arial" w:cs="Arial"/>
          <w:b/>
          <w:bCs/>
          <w:sz w:val="36"/>
          <w:szCs w:val="36"/>
        </w:rPr>
      </w:pPr>
    </w:p>
    <w:p w:rsidR="002658AF" w:rsidRPr="0006091F" w:rsidRDefault="002658A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41172B">
          <w:rPr>
            <w:noProof/>
          </w:rPr>
          <w:t>8</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39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4DD8"/>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450A"/>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448F"/>
    <w:rsid w:val="001944C7"/>
    <w:rsid w:val="0019471F"/>
    <w:rsid w:val="001949F6"/>
    <w:rsid w:val="00194BF8"/>
    <w:rsid w:val="001954B6"/>
    <w:rsid w:val="00196168"/>
    <w:rsid w:val="00197EFA"/>
    <w:rsid w:val="001A01D2"/>
    <w:rsid w:val="001A24E1"/>
    <w:rsid w:val="001A3568"/>
    <w:rsid w:val="001A6D35"/>
    <w:rsid w:val="001A7163"/>
    <w:rsid w:val="001B1120"/>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E4E26"/>
    <w:rsid w:val="001E5FC8"/>
    <w:rsid w:val="001E7AFE"/>
    <w:rsid w:val="001E7C78"/>
    <w:rsid w:val="001F04FB"/>
    <w:rsid w:val="001F0E5F"/>
    <w:rsid w:val="001F182A"/>
    <w:rsid w:val="001F298B"/>
    <w:rsid w:val="001F4F7F"/>
    <w:rsid w:val="002000EA"/>
    <w:rsid w:val="00201C31"/>
    <w:rsid w:val="00203583"/>
    <w:rsid w:val="00206305"/>
    <w:rsid w:val="00206439"/>
    <w:rsid w:val="00206C2A"/>
    <w:rsid w:val="002078BB"/>
    <w:rsid w:val="00207BD5"/>
    <w:rsid w:val="002110BC"/>
    <w:rsid w:val="0021328A"/>
    <w:rsid w:val="00216FF9"/>
    <w:rsid w:val="0021751A"/>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38EB"/>
    <w:rsid w:val="00273EF1"/>
    <w:rsid w:val="00274AD5"/>
    <w:rsid w:val="00275122"/>
    <w:rsid w:val="002759EF"/>
    <w:rsid w:val="002764EC"/>
    <w:rsid w:val="0027656D"/>
    <w:rsid w:val="00276D92"/>
    <w:rsid w:val="0027748F"/>
    <w:rsid w:val="00281F6C"/>
    <w:rsid w:val="002828E0"/>
    <w:rsid w:val="00283BD0"/>
    <w:rsid w:val="0028437B"/>
    <w:rsid w:val="00284863"/>
    <w:rsid w:val="0028603F"/>
    <w:rsid w:val="0029217A"/>
    <w:rsid w:val="00292AF0"/>
    <w:rsid w:val="00294B9B"/>
    <w:rsid w:val="002A207A"/>
    <w:rsid w:val="002A2E2C"/>
    <w:rsid w:val="002A322F"/>
    <w:rsid w:val="002A3BA9"/>
    <w:rsid w:val="002A3CA4"/>
    <w:rsid w:val="002A46CF"/>
    <w:rsid w:val="002A634E"/>
    <w:rsid w:val="002A63D2"/>
    <w:rsid w:val="002A6510"/>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3EC9"/>
    <w:rsid w:val="002D56ED"/>
    <w:rsid w:val="002D6096"/>
    <w:rsid w:val="002E337C"/>
    <w:rsid w:val="002E34FF"/>
    <w:rsid w:val="002E3C88"/>
    <w:rsid w:val="002E5E89"/>
    <w:rsid w:val="002E71C2"/>
    <w:rsid w:val="002E7D66"/>
    <w:rsid w:val="002F0C21"/>
    <w:rsid w:val="002F127F"/>
    <w:rsid w:val="002F1F80"/>
    <w:rsid w:val="002F3091"/>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30C78"/>
    <w:rsid w:val="00332645"/>
    <w:rsid w:val="00337BE0"/>
    <w:rsid w:val="003411EA"/>
    <w:rsid w:val="0034135F"/>
    <w:rsid w:val="0034170D"/>
    <w:rsid w:val="00343C28"/>
    <w:rsid w:val="003442C6"/>
    <w:rsid w:val="00346F7E"/>
    <w:rsid w:val="00347D77"/>
    <w:rsid w:val="003505F9"/>
    <w:rsid w:val="0035123F"/>
    <w:rsid w:val="00352A1E"/>
    <w:rsid w:val="00353038"/>
    <w:rsid w:val="00353AD0"/>
    <w:rsid w:val="00354C96"/>
    <w:rsid w:val="003556EB"/>
    <w:rsid w:val="00355BDF"/>
    <w:rsid w:val="00356BCB"/>
    <w:rsid w:val="00357368"/>
    <w:rsid w:val="00360110"/>
    <w:rsid w:val="00361D63"/>
    <w:rsid w:val="0036426F"/>
    <w:rsid w:val="0036499E"/>
    <w:rsid w:val="00365809"/>
    <w:rsid w:val="00366961"/>
    <w:rsid w:val="00367053"/>
    <w:rsid w:val="00367239"/>
    <w:rsid w:val="00367599"/>
    <w:rsid w:val="003702C4"/>
    <w:rsid w:val="00373142"/>
    <w:rsid w:val="003750B6"/>
    <w:rsid w:val="003754F3"/>
    <w:rsid w:val="00377440"/>
    <w:rsid w:val="0037765A"/>
    <w:rsid w:val="0038013D"/>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1462"/>
    <w:rsid w:val="003C27DA"/>
    <w:rsid w:val="003C4EDA"/>
    <w:rsid w:val="003D08EB"/>
    <w:rsid w:val="003D41A5"/>
    <w:rsid w:val="003D663C"/>
    <w:rsid w:val="003E1B3F"/>
    <w:rsid w:val="003E286C"/>
    <w:rsid w:val="003E462E"/>
    <w:rsid w:val="003E5A71"/>
    <w:rsid w:val="003E749D"/>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575"/>
    <w:rsid w:val="004411EA"/>
    <w:rsid w:val="00442012"/>
    <w:rsid w:val="004465AF"/>
    <w:rsid w:val="00446A18"/>
    <w:rsid w:val="00447612"/>
    <w:rsid w:val="00447F13"/>
    <w:rsid w:val="00451C8C"/>
    <w:rsid w:val="00454022"/>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801A4"/>
    <w:rsid w:val="00480883"/>
    <w:rsid w:val="00481D2A"/>
    <w:rsid w:val="00483F5C"/>
    <w:rsid w:val="004857D5"/>
    <w:rsid w:val="00485A58"/>
    <w:rsid w:val="004873C5"/>
    <w:rsid w:val="00487B1D"/>
    <w:rsid w:val="00490C20"/>
    <w:rsid w:val="00494714"/>
    <w:rsid w:val="004949EF"/>
    <w:rsid w:val="00496A2B"/>
    <w:rsid w:val="004A2834"/>
    <w:rsid w:val="004A2C42"/>
    <w:rsid w:val="004A3421"/>
    <w:rsid w:val="004A4C46"/>
    <w:rsid w:val="004A5949"/>
    <w:rsid w:val="004A5B07"/>
    <w:rsid w:val="004A5BD8"/>
    <w:rsid w:val="004A7BFF"/>
    <w:rsid w:val="004B145B"/>
    <w:rsid w:val="004B449F"/>
    <w:rsid w:val="004C0997"/>
    <w:rsid w:val="004C107D"/>
    <w:rsid w:val="004C1D94"/>
    <w:rsid w:val="004C57CF"/>
    <w:rsid w:val="004C7595"/>
    <w:rsid w:val="004C793E"/>
    <w:rsid w:val="004D02B8"/>
    <w:rsid w:val="004D2E5B"/>
    <w:rsid w:val="004D3429"/>
    <w:rsid w:val="004D34DF"/>
    <w:rsid w:val="004D3A21"/>
    <w:rsid w:val="004E02D3"/>
    <w:rsid w:val="004E2FE7"/>
    <w:rsid w:val="004E4C26"/>
    <w:rsid w:val="004E4DA1"/>
    <w:rsid w:val="004E5DFE"/>
    <w:rsid w:val="004F3450"/>
    <w:rsid w:val="004F35A1"/>
    <w:rsid w:val="004F3E17"/>
    <w:rsid w:val="004F49FB"/>
    <w:rsid w:val="004F7DB1"/>
    <w:rsid w:val="004F7DDC"/>
    <w:rsid w:val="00500A6D"/>
    <w:rsid w:val="00501F69"/>
    <w:rsid w:val="005021FC"/>
    <w:rsid w:val="00504921"/>
    <w:rsid w:val="0050573E"/>
    <w:rsid w:val="00510F8B"/>
    <w:rsid w:val="00512B03"/>
    <w:rsid w:val="00514C7E"/>
    <w:rsid w:val="005154A3"/>
    <w:rsid w:val="00515845"/>
    <w:rsid w:val="0051588E"/>
    <w:rsid w:val="005177AF"/>
    <w:rsid w:val="00521EE7"/>
    <w:rsid w:val="005224FA"/>
    <w:rsid w:val="0052288F"/>
    <w:rsid w:val="005240F6"/>
    <w:rsid w:val="005258D6"/>
    <w:rsid w:val="0053209A"/>
    <w:rsid w:val="0054005C"/>
    <w:rsid w:val="0054194A"/>
    <w:rsid w:val="0054241C"/>
    <w:rsid w:val="005428F6"/>
    <w:rsid w:val="00542FB4"/>
    <w:rsid w:val="0054379C"/>
    <w:rsid w:val="00545526"/>
    <w:rsid w:val="00545E40"/>
    <w:rsid w:val="005530C2"/>
    <w:rsid w:val="005542F2"/>
    <w:rsid w:val="005600F6"/>
    <w:rsid w:val="005622FD"/>
    <w:rsid w:val="00562C92"/>
    <w:rsid w:val="0056304D"/>
    <w:rsid w:val="0056419E"/>
    <w:rsid w:val="00567C3E"/>
    <w:rsid w:val="00567D59"/>
    <w:rsid w:val="00571826"/>
    <w:rsid w:val="00572E55"/>
    <w:rsid w:val="005758A9"/>
    <w:rsid w:val="005770A5"/>
    <w:rsid w:val="00577D21"/>
    <w:rsid w:val="00580C26"/>
    <w:rsid w:val="00583E6E"/>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7228"/>
    <w:rsid w:val="005E0045"/>
    <w:rsid w:val="005E3841"/>
    <w:rsid w:val="005E3A9D"/>
    <w:rsid w:val="005E4948"/>
    <w:rsid w:val="005F0148"/>
    <w:rsid w:val="005F0764"/>
    <w:rsid w:val="005F7340"/>
    <w:rsid w:val="0060114F"/>
    <w:rsid w:val="0060274E"/>
    <w:rsid w:val="00602AC0"/>
    <w:rsid w:val="006048FD"/>
    <w:rsid w:val="00606B55"/>
    <w:rsid w:val="00606F69"/>
    <w:rsid w:val="00607B8E"/>
    <w:rsid w:val="00612BDB"/>
    <w:rsid w:val="00612E2D"/>
    <w:rsid w:val="00613E70"/>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870"/>
    <w:rsid w:val="00682009"/>
    <w:rsid w:val="006832C0"/>
    <w:rsid w:val="00684003"/>
    <w:rsid w:val="00684F60"/>
    <w:rsid w:val="006871A5"/>
    <w:rsid w:val="00687AA0"/>
    <w:rsid w:val="00687F45"/>
    <w:rsid w:val="00690736"/>
    <w:rsid w:val="0069101B"/>
    <w:rsid w:val="00691E63"/>
    <w:rsid w:val="00694328"/>
    <w:rsid w:val="00695C02"/>
    <w:rsid w:val="00696B7C"/>
    <w:rsid w:val="006A0DD9"/>
    <w:rsid w:val="006A1753"/>
    <w:rsid w:val="006A24B7"/>
    <w:rsid w:val="006A3761"/>
    <w:rsid w:val="006A380A"/>
    <w:rsid w:val="006A43AF"/>
    <w:rsid w:val="006A637D"/>
    <w:rsid w:val="006A74DA"/>
    <w:rsid w:val="006B0A0C"/>
    <w:rsid w:val="006B0BF0"/>
    <w:rsid w:val="006B196C"/>
    <w:rsid w:val="006B35CA"/>
    <w:rsid w:val="006B39A5"/>
    <w:rsid w:val="006B4A73"/>
    <w:rsid w:val="006B5DB2"/>
    <w:rsid w:val="006C0FF6"/>
    <w:rsid w:val="006C10F5"/>
    <w:rsid w:val="006C35C9"/>
    <w:rsid w:val="006C4521"/>
    <w:rsid w:val="006C472D"/>
    <w:rsid w:val="006C59E0"/>
    <w:rsid w:val="006C634F"/>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4233"/>
    <w:rsid w:val="007447D8"/>
    <w:rsid w:val="00746A4F"/>
    <w:rsid w:val="007514B1"/>
    <w:rsid w:val="00753DE9"/>
    <w:rsid w:val="00754F13"/>
    <w:rsid w:val="0076073C"/>
    <w:rsid w:val="00761A6E"/>
    <w:rsid w:val="00762F69"/>
    <w:rsid w:val="007633DD"/>
    <w:rsid w:val="00763578"/>
    <w:rsid w:val="00763833"/>
    <w:rsid w:val="00764E65"/>
    <w:rsid w:val="0076534A"/>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3466"/>
    <w:rsid w:val="007A54EF"/>
    <w:rsid w:val="007A5656"/>
    <w:rsid w:val="007A5C06"/>
    <w:rsid w:val="007B142D"/>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4909"/>
    <w:rsid w:val="008D490D"/>
    <w:rsid w:val="008E1392"/>
    <w:rsid w:val="008E220D"/>
    <w:rsid w:val="008E2679"/>
    <w:rsid w:val="008E426B"/>
    <w:rsid w:val="008F066B"/>
    <w:rsid w:val="008F1539"/>
    <w:rsid w:val="008F180E"/>
    <w:rsid w:val="008F40E5"/>
    <w:rsid w:val="008F60C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66C"/>
    <w:rsid w:val="00937E37"/>
    <w:rsid w:val="00940DD1"/>
    <w:rsid w:val="00941E94"/>
    <w:rsid w:val="00942E0E"/>
    <w:rsid w:val="00942E34"/>
    <w:rsid w:val="009435E0"/>
    <w:rsid w:val="00947AB8"/>
    <w:rsid w:val="00947D9D"/>
    <w:rsid w:val="009509FF"/>
    <w:rsid w:val="00950C2A"/>
    <w:rsid w:val="00950FA6"/>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90006"/>
    <w:rsid w:val="009906D1"/>
    <w:rsid w:val="00991FDF"/>
    <w:rsid w:val="009925DF"/>
    <w:rsid w:val="00992B49"/>
    <w:rsid w:val="00993FF1"/>
    <w:rsid w:val="00996367"/>
    <w:rsid w:val="00996F48"/>
    <w:rsid w:val="00997475"/>
    <w:rsid w:val="009A0270"/>
    <w:rsid w:val="009A1149"/>
    <w:rsid w:val="009A1C33"/>
    <w:rsid w:val="009A3DAA"/>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F001A"/>
    <w:rsid w:val="009F1AF9"/>
    <w:rsid w:val="009F220A"/>
    <w:rsid w:val="009F62C1"/>
    <w:rsid w:val="009F7FD0"/>
    <w:rsid w:val="00A00B42"/>
    <w:rsid w:val="00A00FAE"/>
    <w:rsid w:val="00A027F6"/>
    <w:rsid w:val="00A02FDE"/>
    <w:rsid w:val="00A04A6C"/>
    <w:rsid w:val="00A0697F"/>
    <w:rsid w:val="00A0762B"/>
    <w:rsid w:val="00A079AF"/>
    <w:rsid w:val="00A15D2E"/>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65E7"/>
    <w:rsid w:val="00A66C62"/>
    <w:rsid w:val="00A67C1F"/>
    <w:rsid w:val="00A73D56"/>
    <w:rsid w:val="00A741BF"/>
    <w:rsid w:val="00A75AFF"/>
    <w:rsid w:val="00A77E98"/>
    <w:rsid w:val="00A800B4"/>
    <w:rsid w:val="00A801C3"/>
    <w:rsid w:val="00A804C2"/>
    <w:rsid w:val="00A82504"/>
    <w:rsid w:val="00A83DD6"/>
    <w:rsid w:val="00A84247"/>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3B97"/>
    <w:rsid w:val="00AB5BB9"/>
    <w:rsid w:val="00AB7793"/>
    <w:rsid w:val="00AB7D94"/>
    <w:rsid w:val="00AC18B9"/>
    <w:rsid w:val="00AC2628"/>
    <w:rsid w:val="00AC4E3C"/>
    <w:rsid w:val="00AC5952"/>
    <w:rsid w:val="00AC5E45"/>
    <w:rsid w:val="00AC6C2D"/>
    <w:rsid w:val="00AC6DF5"/>
    <w:rsid w:val="00AC7DC8"/>
    <w:rsid w:val="00AD3EC0"/>
    <w:rsid w:val="00AD48B7"/>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10C67"/>
    <w:rsid w:val="00B124E0"/>
    <w:rsid w:val="00B135EC"/>
    <w:rsid w:val="00B15DE6"/>
    <w:rsid w:val="00B16898"/>
    <w:rsid w:val="00B2134A"/>
    <w:rsid w:val="00B21362"/>
    <w:rsid w:val="00B215B0"/>
    <w:rsid w:val="00B22088"/>
    <w:rsid w:val="00B23041"/>
    <w:rsid w:val="00B23662"/>
    <w:rsid w:val="00B23A4D"/>
    <w:rsid w:val="00B23C18"/>
    <w:rsid w:val="00B25375"/>
    <w:rsid w:val="00B27301"/>
    <w:rsid w:val="00B30D14"/>
    <w:rsid w:val="00B30DFC"/>
    <w:rsid w:val="00B32C34"/>
    <w:rsid w:val="00B35114"/>
    <w:rsid w:val="00B35DBD"/>
    <w:rsid w:val="00B37C44"/>
    <w:rsid w:val="00B4102E"/>
    <w:rsid w:val="00B41142"/>
    <w:rsid w:val="00B422AB"/>
    <w:rsid w:val="00B4277F"/>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6555"/>
    <w:rsid w:val="00BC69CA"/>
    <w:rsid w:val="00BC73E5"/>
    <w:rsid w:val="00BD2F6E"/>
    <w:rsid w:val="00BD387D"/>
    <w:rsid w:val="00BD3A17"/>
    <w:rsid w:val="00BD50FC"/>
    <w:rsid w:val="00BD512A"/>
    <w:rsid w:val="00BD620D"/>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FD4"/>
    <w:rsid w:val="00C2005B"/>
    <w:rsid w:val="00C214FD"/>
    <w:rsid w:val="00C21594"/>
    <w:rsid w:val="00C21649"/>
    <w:rsid w:val="00C21C25"/>
    <w:rsid w:val="00C23B6B"/>
    <w:rsid w:val="00C23C25"/>
    <w:rsid w:val="00C23D35"/>
    <w:rsid w:val="00C240BD"/>
    <w:rsid w:val="00C24A1C"/>
    <w:rsid w:val="00C26531"/>
    <w:rsid w:val="00C32E33"/>
    <w:rsid w:val="00C3351F"/>
    <w:rsid w:val="00C336F8"/>
    <w:rsid w:val="00C337CC"/>
    <w:rsid w:val="00C35146"/>
    <w:rsid w:val="00C3756A"/>
    <w:rsid w:val="00C37E2F"/>
    <w:rsid w:val="00C407EF"/>
    <w:rsid w:val="00C43239"/>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8EA"/>
    <w:rsid w:val="00CA0BD9"/>
    <w:rsid w:val="00CA151C"/>
    <w:rsid w:val="00CA23A7"/>
    <w:rsid w:val="00CA31E9"/>
    <w:rsid w:val="00CA3A8D"/>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3144"/>
    <w:rsid w:val="00CF4284"/>
    <w:rsid w:val="00CF5C74"/>
    <w:rsid w:val="00CF61F0"/>
    <w:rsid w:val="00CF690F"/>
    <w:rsid w:val="00CF7FF8"/>
    <w:rsid w:val="00D06ADB"/>
    <w:rsid w:val="00D07DCB"/>
    <w:rsid w:val="00D13526"/>
    <w:rsid w:val="00D15C83"/>
    <w:rsid w:val="00D15FFB"/>
    <w:rsid w:val="00D16E6F"/>
    <w:rsid w:val="00D17E01"/>
    <w:rsid w:val="00D17FF4"/>
    <w:rsid w:val="00D222DE"/>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20FC"/>
    <w:rsid w:val="00D724BF"/>
    <w:rsid w:val="00D756C6"/>
    <w:rsid w:val="00D76B85"/>
    <w:rsid w:val="00D77DF4"/>
    <w:rsid w:val="00D80633"/>
    <w:rsid w:val="00D8157E"/>
    <w:rsid w:val="00D82307"/>
    <w:rsid w:val="00D86D7E"/>
    <w:rsid w:val="00D86F6B"/>
    <w:rsid w:val="00D86FC3"/>
    <w:rsid w:val="00D87804"/>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1395"/>
    <w:rsid w:val="00E0208C"/>
    <w:rsid w:val="00E02686"/>
    <w:rsid w:val="00E02F3C"/>
    <w:rsid w:val="00E044F2"/>
    <w:rsid w:val="00E07347"/>
    <w:rsid w:val="00E11B6D"/>
    <w:rsid w:val="00E1265D"/>
    <w:rsid w:val="00E127D4"/>
    <w:rsid w:val="00E16413"/>
    <w:rsid w:val="00E16C54"/>
    <w:rsid w:val="00E2226C"/>
    <w:rsid w:val="00E22DFF"/>
    <w:rsid w:val="00E249A2"/>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7846"/>
    <w:rsid w:val="00E60B59"/>
    <w:rsid w:val="00E61B99"/>
    <w:rsid w:val="00E6336C"/>
    <w:rsid w:val="00E6550D"/>
    <w:rsid w:val="00E65B93"/>
    <w:rsid w:val="00E72900"/>
    <w:rsid w:val="00E73384"/>
    <w:rsid w:val="00E73BC8"/>
    <w:rsid w:val="00E743CB"/>
    <w:rsid w:val="00E74773"/>
    <w:rsid w:val="00E75757"/>
    <w:rsid w:val="00E76404"/>
    <w:rsid w:val="00E77AC0"/>
    <w:rsid w:val="00E803BA"/>
    <w:rsid w:val="00E809A2"/>
    <w:rsid w:val="00E80A8E"/>
    <w:rsid w:val="00E80EBA"/>
    <w:rsid w:val="00E810A2"/>
    <w:rsid w:val="00E81EBB"/>
    <w:rsid w:val="00E84B13"/>
    <w:rsid w:val="00E8505F"/>
    <w:rsid w:val="00E866B7"/>
    <w:rsid w:val="00E9024F"/>
    <w:rsid w:val="00E909B4"/>
    <w:rsid w:val="00E91CB0"/>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E01"/>
    <w:rsid w:val="00ED1495"/>
    <w:rsid w:val="00ED185D"/>
    <w:rsid w:val="00ED68CD"/>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321"/>
    <w:rsid w:val="00F273AB"/>
    <w:rsid w:val="00F30216"/>
    <w:rsid w:val="00F400DC"/>
    <w:rsid w:val="00F40918"/>
    <w:rsid w:val="00F40F4B"/>
    <w:rsid w:val="00F4699E"/>
    <w:rsid w:val="00F5086A"/>
    <w:rsid w:val="00F51B98"/>
    <w:rsid w:val="00F52598"/>
    <w:rsid w:val="00F533C7"/>
    <w:rsid w:val="00F5391F"/>
    <w:rsid w:val="00F54B4C"/>
    <w:rsid w:val="00F5748E"/>
    <w:rsid w:val="00F61A1D"/>
    <w:rsid w:val="00F62120"/>
    <w:rsid w:val="00F62AA8"/>
    <w:rsid w:val="00F63322"/>
    <w:rsid w:val="00F645AB"/>
    <w:rsid w:val="00F657DC"/>
    <w:rsid w:val="00F65E03"/>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DF2"/>
    <w:rsid w:val="00FB2728"/>
    <w:rsid w:val="00FB5FC1"/>
    <w:rsid w:val="00FB69C9"/>
    <w:rsid w:val="00FC04E2"/>
    <w:rsid w:val="00FC088B"/>
    <w:rsid w:val="00FC2714"/>
    <w:rsid w:val="00FC4484"/>
    <w:rsid w:val="00FC4B29"/>
    <w:rsid w:val="00FC5BDA"/>
    <w:rsid w:val="00FC6539"/>
    <w:rsid w:val="00FD100B"/>
    <w:rsid w:val="00FD367A"/>
    <w:rsid w:val="00FD5E11"/>
    <w:rsid w:val="00FE01E5"/>
    <w:rsid w:val="00FE17F5"/>
    <w:rsid w:val="00FE1EB2"/>
    <w:rsid w:val="00FE30E6"/>
    <w:rsid w:val="00FE3BAD"/>
    <w:rsid w:val="00FE4A7A"/>
    <w:rsid w:val="00FE5C82"/>
    <w:rsid w:val="00FF09EF"/>
    <w:rsid w:val="00FF1052"/>
    <w:rsid w:val="00FF1FC8"/>
    <w:rsid w:val="00FF2354"/>
    <w:rsid w:val="00FF4A9E"/>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39617"/>
    <o:shapelayout v:ext="edit">
      <o:idmap v:ext="edit" data="1"/>
    </o:shapelayout>
  </w:shapeDefaults>
  <w:decimalSymbol w:val="."/>
  <w:listSeparator w:val=";"/>
  <w14:docId w14:val="4BCFB5A1"/>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1F3EC-C2CD-4F0F-8881-3D388AAAB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548</Words>
  <Characters>3018</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16</cp:revision>
  <cp:lastPrinted>2018-12-17T08:35:00Z</cp:lastPrinted>
  <dcterms:created xsi:type="dcterms:W3CDTF">2019-01-07T08:29:00Z</dcterms:created>
  <dcterms:modified xsi:type="dcterms:W3CDTF">2019-01-07T08:57:00Z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