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A321F0">
        <w:rPr>
          <w:rFonts w:ascii="Calibri Light" w:hAnsi="Calibri Light" w:cs="Arial"/>
          <w:b/>
          <w:sz w:val="44"/>
          <w:szCs w:val="44"/>
        </w:rPr>
        <w:t>21</w:t>
      </w:r>
      <w:r w:rsidR="00CF690F">
        <w:rPr>
          <w:rFonts w:ascii="Calibri Light" w:hAnsi="Calibri Light" w:cs="Arial"/>
          <w:b/>
          <w:sz w:val="44"/>
          <w:szCs w:val="44"/>
        </w:rPr>
        <w:t xml:space="preserve"> janvier 2019</w:t>
      </w:r>
    </w:p>
    <w:p w:rsidR="00F72829" w:rsidRPr="006023AA" w:rsidRDefault="00F72829" w:rsidP="00F72829">
      <w:pPr>
        <w:jc w:val="both"/>
        <w:rPr>
          <w:rFonts w:ascii="Calibri Light" w:hAnsi="Calibri Light" w:cs="Arial"/>
          <w:b/>
          <w:sz w:val="44"/>
          <w:szCs w:val="44"/>
        </w:rPr>
      </w:pP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CF690F" w:rsidRDefault="00CF690F"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59618B"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9618B">
        <w:rPr>
          <w:rFonts w:ascii="Arial" w:hAnsi="Arial" w:cs="Arial"/>
          <w:b/>
          <w:sz w:val="36"/>
          <w:szCs w:val="36"/>
          <w:u w:val="single"/>
        </w:rPr>
        <w:t xml:space="preserve">10 ans Euro </w:t>
      </w:r>
    </w:p>
    <w:p w:rsidR="000D4E0C" w:rsidRPr="0059618B" w:rsidRDefault="000D4E0C" w:rsidP="000D4E0C">
      <w:pPr>
        <w:autoSpaceDE w:val="0"/>
        <w:jc w:val="both"/>
        <w:rPr>
          <w:rFonts w:ascii="Arial" w:hAnsi="Arial" w:cs="Arial"/>
          <w:b/>
          <w:sz w:val="28"/>
          <w:szCs w:val="28"/>
          <w:u w:val="single"/>
        </w:rPr>
      </w:pPr>
      <w:r w:rsidRPr="0059618B">
        <w:rPr>
          <w:rFonts w:ascii="Arial" w:hAnsi="Arial" w:cs="Arial"/>
          <w:b/>
          <w:sz w:val="28"/>
          <w:szCs w:val="28"/>
          <w:u w:val="single"/>
        </w:rPr>
        <w:t>Monthly</w:t>
      </w:r>
    </w:p>
    <w:p w:rsidR="00F72829" w:rsidRPr="00613E70" w:rsidRDefault="001D3DCE" w:rsidP="00B65AF1">
      <w:pPr>
        <w:autoSpaceDE w:val="0"/>
        <w:ind w:left="-283"/>
        <w:jc w:val="both"/>
        <w:rPr>
          <w:rFonts w:ascii="Arial" w:hAnsi="Arial" w:cs="Arial"/>
          <w:b/>
          <w:sz w:val="28"/>
          <w:szCs w:val="28"/>
          <w:u w:val="single"/>
        </w:rPr>
      </w:pPr>
      <w:r w:rsidRPr="001D3DCE">
        <w:rPr>
          <w:rFonts w:ascii="Arial" w:hAnsi="Arial" w:cs="Arial"/>
          <w:b/>
          <w:noProof/>
          <w:sz w:val="28"/>
          <w:szCs w:val="28"/>
          <w:u w:val="single"/>
        </w:rPr>
        <w:drawing>
          <wp:inline distT="0" distB="0" distL="0" distR="0">
            <wp:extent cx="6645330" cy="4095750"/>
            <wp:effectExtent l="0" t="0" r="3175" b="0"/>
            <wp:docPr id="1" name="Image 1" descr="C:\Users\EPBFIA~1\AppData\Local\Temp\Bloomberg\temp\bfmD5C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D5C8.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680" cy="4096582"/>
                    </a:xfrm>
                    <a:prstGeom prst="rect">
                      <a:avLst/>
                    </a:prstGeom>
                    <a:noFill/>
                    <a:ln>
                      <a:noFill/>
                    </a:ln>
                  </pic:spPr>
                </pic:pic>
              </a:graphicData>
            </a:graphic>
          </wp:inline>
        </w:drawing>
      </w:r>
    </w:p>
    <w:p w:rsidR="00F72829" w:rsidRPr="001D3DCE" w:rsidRDefault="00F72829" w:rsidP="00F72829">
      <w:pPr>
        <w:autoSpaceDE w:val="0"/>
        <w:jc w:val="both"/>
        <w:rPr>
          <w:rFonts w:ascii="Arial" w:hAnsi="Arial" w:cs="Arial"/>
          <w:b/>
          <w:sz w:val="28"/>
          <w:szCs w:val="28"/>
          <w:u w:val="single"/>
        </w:rPr>
      </w:pPr>
      <w:r w:rsidRPr="001D3DCE">
        <w:rPr>
          <w:rFonts w:ascii="Arial" w:hAnsi="Arial" w:cs="Arial"/>
          <w:b/>
          <w:sz w:val="28"/>
          <w:szCs w:val="28"/>
          <w:u w:val="single"/>
        </w:rPr>
        <w:t>Weekly</w:t>
      </w:r>
    </w:p>
    <w:p w:rsidR="00A85203" w:rsidRPr="001D3DCE" w:rsidRDefault="001D3DCE" w:rsidP="00761A6E">
      <w:pPr>
        <w:autoSpaceDE w:val="0"/>
        <w:ind w:left="-283"/>
        <w:jc w:val="both"/>
        <w:rPr>
          <w:rFonts w:ascii="Arial" w:hAnsi="Arial" w:cs="Arial"/>
          <w:b/>
          <w:sz w:val="28"/>
          <w:szCs w:val="28"/>
          <w:u w:val="single"/>
        </w:rPr>
      </w:pPr>
      <w:r w:rsidRPr="001D3DCE">
        <w:rPr>
          <w:rFonts w:ascii="Arial" w:hAnsi="Arial" w:cs="Arial"/>
          <w:b/>
          <w:noProof/>
          <w:sz w:val="28"/>
          <w:szCs w:val="28"/>
          <w:u w:val="single"/>
        </w:rPr>
        <w:drawing>
          <wp:inline distT="0" distB="0" distL="0" distR="0">
            <wp:extent cx="6645330" cy="4314825"/>
            <wp:effectExtent l="0" t="0" r="3175" b="0"/>
            <wp:docPr id="2" name="Image 2" descr="C:\Users\EPBFIA~1\AppData\Local\Temp\Bloomberg\temp\bfm2ED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2ED6.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240" cy="4315416"/>
                    </a:xfrm>
                    <a:prstGeom prst="rect">
                      <a:avLst/>
                    </a:prstGeom>
                    <a:noFill/>
                    <a:ln>
                      <a:noFill/>
                    </a:ln>
                  </pic:spPr>
                </pic:pic>
              </a:graphicData>
            </a:graphic>
          </wp:inline>
        </w:drawing>
      </w:r>
    </w:p>
    <w:p w:rsidR="0021751A" w:rsidRPr="001D3DCE" w:rsidRDefault="0021751A" w:rsidP="00761A6E">
      <w:pPr>
        <w:autoSpaceDE w:val="0"/>
        <w:ind w:left="-283"/>
        <w:jc w:val="both"/>
        <w:rPr>
          <w:rFonts w:ascii="Arial" w:hAnsi="Arial" w:cs="Arial"/>
          <w:b/>
          <w:sz w:val="28"/>
          <w:szCs w:val="28"/>
          <w:u w:val="single"/>
        </w:rPr>
      </w:pPr>
    </w:p>
    <w:p w:rsidR="00286600" w:rsidRPr="001D3DCE" w:rsidRDefault="005E3841" w:rsidP="00B25A1B">
      <w:pPr>
        <w:autoSpaceDE w:val="0"/>
        <w:ind w:left="-851"/>
        <w:jc w:val="both"/>
        <w:rPr>
          <w:rFonts w:ascii="Arial" w:hAnsi="Arial" w:cs="Arial"/>
          <w:b/>
          <w:sz w:val="28"/>
          <w:szCs w:val="28"/>
          <w:u w:val="single"/>
        </w:rPr>
      </w:pPr>
      <w:r w:rsidRPr="001D3DCE">
        <w:rPr>
          <w:rFonts w:ascii="Arial" w:hAnsi="Arial" w:cs="Arial"/>
          <w:b/>
          <w:sz w:val="28"/>
          <w:szCs w:val="28"/>
        </w:rPr>
        <w:lastRenderedPageBreak/>
        <w:t xml:space="preserve">           </w:t>
      </w:r>
      <w:r w:rsidR="000D4E0C" w:rsidRPr="001D3DCE">
        <w:rPr>
          <w:rFonts w:ascii="Arial" w:hAnsi="Arial" w:cs="Arial"/>
          <w:b/>
          <w:sz w:val="28"/>
          <w:szCs w:val="28"/>
          <w:u w:val="single"/>
        </w:rPr>
        <w:t>Daily</w:t>
      </w:r>
    </w:p>
    <w:p w:rsidR="008F46BD" w:rsidRPr="001D3DCE" w:rsidRDefault="001D3DCE" w:rsidP="003505F9">
      <w:pPr>
        <w:autoSpaceDE w:val="0"/>
        <w:jc w:val="both"/>
        <w:rPr>
          <w:rFonts w:ascii="Arial" w:hAnsi="Arial" w:cs="Arial"/>
          <w:b/>
          <w:sz w:val="28"/>
          <w:szCs w:val="28"/>
          <w:u w:val="single"/>
        </w:rPr>
      </w:pPr>
      <w:r w:rsidRPr="001D3DCE">
        <w:rPr>
          <w:rFonts w:ascii="Arial" w:hAnsi="Arial" w:cs="Arial"/>
          <w:b/>
          <w:noProof/>
          <w:sz w:val="28"/>
          <w:szCs w:val="28"/>
          <w:u w:val="single"/>
        </w:rPr>
        <w:drawing>
          <wp:inline distT="0" distB="0" distL="0" distR="0">
            <wp:extent cx="6645330" cy="4124325"/>
            <wp:effectExtent l="0" t="0" r="3175" b="0"/>
            <wp:docPr id="3" name="Image 3" descr="C:\Users\EPBFIA~1\AppData\Local\Temp\Bloomberg\temp\bfm89D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PBFIA~1\AppData\Local\Temp\Bloomberg\temp\bfm89DA.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790" cy="4125231"/>
                    </a:xfrm>
                    <a:prstGeom prst="rect">
                      <a:avLst/>
                    </a:prstGeom>
                    <a:noFill/>
                    <a:ln>
                      <a:noFill/>
                    </a:ln>
                  </pic:spPr>
                </pic:pic>
              </a:graphicData>
            </a:graphic>
          </wp:inline>
        </w:drawing>
      </w:r>
    </w:p>
    <w:p w:rsidR="008F46BD" w:rsidRPr="001D3DCE" w:rsidRDefault="008F46BD" w:rsidP="003505F9">
      <w:pPr>
        <w:autoSpaceDE w:val="0"/>
        <w:jc w:val="both"/>
        <w:rPr>
          <w:rFonts w:ascii="Arial" w:hAnsi="Arial" w:cs="Arial"/>
          <w:b/>
          <w:sz w:val="28"/>
          <w:szCs w:val="28"/>
          <w:u w:val="single"/>
        </w:rPr>
      </w:pPr>
    </w:p>
    <w:p w:rsidR="001B1285" w:rsidRPr="008F46BD" w:rsidRDefault="00F72829" w:rsidP="00A321F0">
      <w:pPr>
        <w:jc w:val="both"/>
        <w:rPr>
          <w:rFonts w:ascii="Tahoma" w:hAnsi="Tahoma" w:cs="Tahoma"/>
          <w:bCs/>
        </w:rPr>
      </w:pPr>
      <w:r w:rsidRPr="008F46BD">
        <w:rPr>
          <w:rFonts w:ascii="Arial" w:hAnsi="Arial" w:cs="Arial"/>
          <w:b/>
        </w:rPr>
        <w:t>M</w:t>
      </w:r>
      <w:r w:rsidR="00DC3AA6" w:rsidRPr="008F46BD">
        <w:rPr>
          <w:rFonts w:ascii="Arial" w:hAnsi="Arial" w:cs="Arial"/>
          <w:b/>
        </w:rPr>
        <w:t xml:space="preserve"> : </w:t>
      </w:r>
      <w:r w:rsidR="008F46BD" w:rsidRPr="008F46BD">
        <w:rPr>
          <w:rFonts w:ascii="Arial" w:hAnsi="Arial" w:cs="Arial"/>
        </w:rPr>
        <w:t xml:space="preserve">Sur le long terme, </w:t>
      </w:r>
      <w:r w:rsidR="008F46BD">
        <w:rPr>
          <w:rFonts w:ascii="Arial" w:hAnsi="Arial" w:cs="Arial"/>
        </w:rPr>
        <w:t>l</w:t>
      </w:r>
      <w:r w:rsidR="00286600" w:rsidRPr="008F46BD">
        <w:rPr>
          <w:rFonts w:ascii="Arial" w:hAnsi="Arial" w:cs="Arial"/>
        </w:rPr>
        <w:t xml:space="preserve">a </w:t>
      </w:r>
      <w:r w:rsidR="008F46BD" w:rsidRPr="008F46BD">
        <w:rPr>
          <w:rFonts w:ascii="Arial" w:hAnsi="Arial" w:cs="Arial"/>
        </w:rPr>
        <w:t xml:space="preserve">bordure basse du nuage </w:t>
      </w:r>
      <w:r w:rsidR="008F46BD">
        <w:rPr>
          <w:rFonts w:ascii="Arial" w:hAnsi="Arial" w:cs="Arial"/>
        </w:rPr>
        <w:t>de 0.27 fonctionne en janvier comme un support ou une résistance.</w:t>
      </w:r>
      <w:r w:rsidR="007B171F">
        <w:rPr>
          <w:rFonts w:ascii="Arial" w:hAnsi="Arial" w:cs="Arial"/>
        </w:rPr>
        <w:t xml:space="preserve"> </w:t>
      </w:r>
      <w:r w:rsidR="001A06F3">
        <w:rPr>
          <w:rFonts w:ascii="Arial" w:hAnsi="Arial" w:cs="Arial"/>
        </w:rPr>
        <w:t>Cette SSA sert actuellement de résistance. Un maintien du taux sous 0.27 avantagera la baisse et de nouveaux tests du support de 0.15.</w:t>
      </w:r>
      <w:r w:rsidR="007B171F">
        <w:rPr>
          <w:rFonts w:ascii="Arial" w:hAnsi="Arial" w:cs="Arial"/>
        </w:rPr>
        <w:t xml:space="preserve"> </w:t>
      </w:r>
    </w:p>
    <w:p w:rsidR="00D67E50" w:rsidRPr="008F46BD" w:rsidRDefault="00D67E50" w:rsidP="00D67E50">
      <w:pPr>
        <w:jc w:val="both"/>
        <w:rPr>
          <w:rFonts w:ascii="Tahoma" w:hAnsi="Tahoma" w:cs="Tahoma"/>
        </w:rPr>
      </w:pPr>
    </w:p>
    <w:p w:rsidR="00E95DBA" w:rsidRPr="001A06F3" w:rsidRDefault="003A1222" w:rsidP="00B0131A">
      <w:pPr>
        <w:jc w:val="both"/>
        <w:rPr>
          <w:rFonts w:ascii="Arial" w:hAnsi="Arial" w:cs="Arial"/>
          <w:bCs/>
        </w:rPr>
      </w:pPr>
      <w:r w:rsidRPr="001A06F3">
        <w:rPr>
          <w:rFonts w:ascii="Arial" w:hAnsi="Arial" w:cs="Arial"/>
          <w:b/>
          <w:bCs/>
        </w:rPr>
        <w:t xml:space="preserve">W : </w:t>
      </w:r>
      <w:r w:rsidR="00FA6CB0">
        <w:rPr>
          <w:rFonts w:ascii="Arial" w:hAnsi="Arial" w:cs="Arial"/>
          <w:bCs/>
        </w:rPr>
        <w:t>Le 10 ans Euro a rebondi sur son support de 0.15. La TS sert de résistance sur 0.27. Son dépassement orientera le taux sur le plat de KS de 0.36. Ce dépassement ne remettra pas en cause le biais qui avantage la baisse. En cassure du plat de SSB de 0.50 on pourra l’envisager.</w:t>
      </w:r>
    </w:p>
    <w:p w:rsidR="00A321F0" w:rsidRPr="001A06F3" w:rsidRDefault="00A321F0" w:rsidP="00B0131A">
      <w:pPr>
        <w:jc w:val="both"/>
        <w:rPr>
          <w:rFonts w:ascii="Tahoma" w:hAnsi="Tahoma" w:cs="Tahoma"/>
          <w:bCs/>
        </w:rPr>
      </w:pPr>
    </w:p>
    <w:p w:rsidR="00167798" w:rsidRDefault="00A82504" w:rsidP="00A321F0">
      <w:pPr>
        <w:jc w:val="both"/>
        <w:rPr>
          <w:rFonts w:ascii="Arial" w:hAnsi="Arial" w:cs="Arial"/>
          <w:bCs/>
        </w:rPr>
      </w:pPr>
      <w:r w:rsidRPr="008631EB">
        <w:rPr>
          <w:rFonts w:ascii="Arial" w:hAnsi="Arial" w:cs="Arial"/>
          <w:b/>
          <w:bCs/>
        </w:rPr>
        <w:t xml:space="preserve">D : </w:t>
      </w:r>
      <w:r w:rsidR="00606FF3">
        <w:rPr>
          <w:rFonts w:ascii="Arial" w:hAnsi="Arial" w:cs="Arial"/>
          <w:bCs/>
        </w:rPr>
        <w:t xml:space="preserve">Sur </w:t>
      </w:r>
      <w:r w:rsidR="00F82938">
        <w:rPr>
          <w:rFonts w:ascii="Arial" w:hAnsi="Arial" w:cs="Arial"/>
          <w:bCs/>
        </w:rPr>
        <w:t xml:space="preserve">le court terme le contexte est baissier mais depuis le bas de 0.15 le marché consolide entre ce point bas et une zone de résistance comprise entre 0.28 et 0.30. </w:t>
      </w:r>
    </w:p>
    <w:p w:rsidR="00F4733B" w:rsidRDefault="00F4733B" w:rsidP="00A321F0">
      <w:pPr>
        <w:jc w:val="both"/>
        <w:rPr>
          <w:rFonts w:ascii="Arial" w:hAnsi="Arial" w:cs="Arial"/>
          <w:bCs/>
        </w:rPr>
      </w:pPr>
      <w:r>
        <w:rPr>
          <w:rFonts w:ascii="Arial" w:hAnsi="Arial" w:cs="Arial"/>
          <w:bCs/>
        </w:rPr>
        <w:t>Au sein de la dérive latérale, le plat de KS de 0.22 servira de point d’équilibre et de force de rappel.</w:t>
      </w:r>
    </w:p>
    <w:p w:rsidR="00F4733B" w:rsidRPr="00A321F0" w:rsidRDefault="00F4733B" w:rsidP="00A321F0">
      <w:pPr>
        <w:jc w:val="both"/>
        <w:rPr>
          <w:rFonts w:ascii="Arial" w:hAnsi="Arial" w:cs="Arial"/>
          <w:bCs/>
          <w:i/>
        </w:rPr>
      </w:pPr>
      <w:r>
        <w:rPr>
          <w:rFonts w:ascii="Arial" w:hAnsi="Arial" w:cs="Arial"/>
          <w:bCs/>
        </w:rPr>
        <w:t>Une rupture de 0.30 devra être validée par un dépassement du plat de SSB pour envisager un retournement favorable à la hausse.</w:t>
      </w:r>
    </w:p>
    <w:p w:rsidR="00A321F0" w:rsidRDefault="00A321F0" w:rsidP="00A321F0">
      <w:pPr>
        <w:jc w:val="both"/>
        <w:rPr>
          <w:rFonts w:ascii="Tahoma" w:hAnsi="Tahoma" w:cs="Tahoma"/>
        </w:rPr>
      </w:pPr>
    </w:p>
    <w:p w:rsidR="00167798" w:rsidRPr="00FA5CAD" w:rsidRDefault="00167798" w:rsidP="00FD5E11">
      <w:pPr>
        <w:jc w:val="both"/>
        <w:rPr>
          <w:rFonts w:ascii="Tahoma" w:hAnsi="Tahoma" w:cs="Tahoma"/>
        </w:rPr>
      </w:pPr>
    </w:p>
    <w:p w:rsidR="003E3CAD" w:rsidRPr="00AB4AFC" w:rsidRDefault="00F72829" w:rsidP="00AD5C65">
      <w:pPr>
        <w:jc w:val="both"/>
        <w:rPr>
          <w:rFonts w:ascii="Arial" w:hAnsi="Arial" w:cs="Arial"/>
          <w:b/>
          <w:color w:val="00B050"/>
        </w:rPr>
      </w:pPr>
      <w:r w:rsidRPr="00AB4AFC">
        <w:rPr>
          <w:rFonts w:ascii="Arial" w:hAnsi="Arial" w:cs="Arial"/>
          <w:b/>
          <w:color w:val="00B050"/>
          <w:u w:val="single"/>
        </w:rPr>
        <w:t>HEBDOMADAIRE</w:t>
      </w:r>
      <w:r w:rsidR="00C21594" w:rsidRPr="00AB4AFC">
        <w:rPr>
          <w:rFonts w:ascii="Arial" w:hAnsi="Arial" w:cs="Arial"/>
          <w:b/>
          <w:color w:val="00B050"/>
        </w:rPr>
        <w:t xml:space="preserve"> : </w:t>
      </w:r>
      <w:r w:rsidR="00AD5C65" w:rsidRPr="00AB4AFC">
        <w:rPr>
          <w:rFonts w:ascii="Arial" w:hAnsi="Arial" w:cs="Arial"/>
          <w:b/>
          <w:color w:val="00B050"/>
        </w:rPr>
        <w:t>Poursuite de la consolidation entre 0.15 et une zone comprise entre 0.28 et 0.30. Le point médian de cette dérive latérale se situe sur 0.22.</w:t>
      </w:r>
    </w:p>
    <w:p w:rsidR="00AD5C65" w:rsidRPr="00AB4AFC" w:rsidRDefault="00AD5C65" w:rsidP="00AD5C65">
      <w:pPr>
        <w:jc w:val="both"/>
        <w:rPr>
          <w:rFonts w:ascii="Arial" w:hAnsi="Arial" w:cs="Arial"/>
          <w:b/>
          <w:color w:val="00B050"/>
        </w:rPr>
      </w:pPr>
      <w:r w:rsidRPr="00AB4AFC">
        <w:rPr>
          <w:rFonts w:ascii="Arial" w:hAnsi="Arial" w:cs="Arial"/>
          <w:b/>
          <w:color w:val="00B050"/>
        </w:rPr>
        <w:t>Pas de hausse envisagée avant le dépassement de 0.40.</w:t>
      </w:r>
    </w:p>
    <w:p w:rsidR="001C758E" w:rsidRPr="00A321F0" w:rsidRDefault="001C758E" w:rsidP="00F72829">
      <w:pPr>
        <w:jc w:val="both"/>
        <w:rPr>
          <w:rFonts w:ascii="Tahoma" w:hAnsi="Tahoma" w:cs="Tahoma"/>
          <w:color w:val="FF0000"/>
        </w:rPr>
      </w:pPr>
    </w:p>
    <w:p w:rsidR="0051588E" w:rsidRDefault="0051588E" w:rsidP="00F72829">
      <w:pPr>
        <w:jc w:val="both"/>
        <w:rPr>
          <w:rFonts w:ascii="Tahoma" w:hAnsi="Tahoma" w:cs="Tahoma"/>
          <w:color w:val="FF0000"/>
        </w:rPr>
      </w:pPr>
    </w:p>
    <w:p w:rsidR="00220546" w:rsidRDefault="00220546" w:rsidP="00F72829">
      <w:pPr>
        <w:jc w:val="both"/>
        <w:rPr>
          <w:rFonts w:ascii="Tahoma" w:hAnsi="Tahoma" w:cs="Tahoma"/>
          <w:color w:val="FF0000"/>
        </w:rPr>
      </w:pPr>
    </w:p>
    <w:p w:rsidR="00220546" w:rsidRDefault="00220546" w:rsidP="00F72829">
      <w:pPr>
        <w:jc w:val="both"/>
        <w:rPr>
          <w:rFonts w:ascii="Tahoma" w:hAnsi="Tahoma" w:cs="Tahoma"/>
          <w:color w:val="FF0000"/>
        </w:rPr>
      </w:pPr>
    </w:p>
    <w:p w:rsidR="00220546" w:rsidRDefault="00220546" w:rsidP="00F72829">
      <w:pPr>
        <w:jc w:val="both"/>
        <w:rPr>
          <w:rFonts w:ascii="Tahoma" w:hAnsi="Tahoma" w:cs="Tahoma"/>
          <w:color w:val="FF0000"/>
        </w:rPr>
      </w:pPr>
    </w:p>
    <w:p w:rsidR="00220546" w:rsidRDefault="00220546" w:rsidP="00F72829">
      <w:pPr>
        <w:jc w:val="both"/>
        <w:rPr>
          <w:rFonts w:ascii="Tahoma" w:hAnsi="Tahoma" w:cs="Tahoma"/>
          <w:color w:val="FF0000"/>
        </w:rPr>
      </w:pPr>
    </w:p>
    <w:p w:rsidR="00220546" w:rsidRPr="00A321F0" w:rsidRDefault="00220546" w:rsidP="00F72829">
      <w:pPr>
        <w:jc w:val="both"/>
        <w:rPr>
          <w:rFonts w:ascii="Tahoma" w:hAnsi="Tahoma" w:cs="Tahoma"/>
          <w:color w:val="FF0000"/>
        </w:rPr>
      </w:pPr>
    </w:p>
    <w:p w:rsidR="00D22B10" w:rsidRPr="002A2E2C" w:rsidRDefault="00D22B10" w:rsidP="00F72829">
      <w:pPr>
        <w:jc w:val="both"/>
        <w:rPr>
          <w:rFonts w:ascii="Tahoma" w:hAnsi="Tahoma" w:cs="Tahoma"/>
          <w:color w:val="00B050"/>
        </w:rPr>
      </w:pPr>
    </w:p>
    <w:p w:rsidR="00F72829" w:rsidRPr="001A70FB" w:rsidRDefault="004E02D3" w:rsidP="008F40E5">
      <w:pPr>
        <w:jc w:val="both"/>
        <w:rPr>
          <w:rFonts w:ascii="Arial" w:hAnsi="Arial" w:cs="Arial"/>
          <w:b/>
          <w:bCs/>
          <w:sz w:val="36"/>
          <w:szCs w:val="36"/>
          <w:u w:val="single"/>
          <w:lang w:val="en-US"/>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1A70FB">
        <w:rPr>
          <w:rFonts w:ascii="Arial" w:hAnsi="Arial" w:cs="Arial"/>
          <w:b/>
          <w:bCs/>
          <w:sz w:val="36"/>
          <w:szCs w:val="36"/>
          <w:u w:val="single"/>
          <w:lang w:val="en-US"/>
        </w:rPr>
        <w:t xml:space="preserve">10 ans USA </w:t>
      </w:r>
    </w:p>
    <w:p w:rsidR="00F72829" w:rsidRPr="00B43264" w:rsidRDefault="00F72829" w:rsidP="00BE257A">
      <w:pPr>
        <w:jc w:val="both"/>
        <w:rPr>
          <w:rFonts w:ascii="Arial" w:hAnsi="Arial" w:cs="Arial"/>
          <w:b/>
          <w:sz w:val="28"/>
          <w:szCs w:val="28"/>
          <w:u w:val="single"/>
          <w:lang w:val="en-US"/>
        </w:rPr>
      </w:pPr>
      <w:r w:rsidRPr="00B43264">
        <w:rPr>
          <w:rFonts w:ascii="Arial" w:hAnsi="Arial" w:cs="Arial"/>
          <w:b/>
          <w:sz w:val="28"/>
          <w:szCs w:val="28"/>
          <w:u w:val="single"/>
          <w:lang w:val="en-US"/>
        </w:rPr>
        <w:t>Monthly</w:t>
      </w:r>
    </w:p>
    <w:p w:rsidR="00B03AED" w:rsidRPr="00B43264" w:rsidRDefault="001D3DCE" w:rsidP="00687F45">
      <w:pPr>
        <w:jc w:val="both"/>
        <w:rPr>
          <w:rFonts w:ascii="Arial" w:hAnsi="Arial" w:cs="Arial"/>
          <w:b/>
          <w:bCs/>
          <w:sz w:val="28"/>
          <w:szCs w:val="28"/>
          <w:u w:val="single"/>
          <w:lang w:val="en-US"/>
        </w:rPr>
      </w:pPr>
      <w:r w:rsidRPr="001D3DCE">
        <w:rPr>
          <w:rFonts w:ascii="Arial" w:hAnsi="Arial" w:cs="Arial"/>
          <w:b/>
          <w:bCs/>
          <w:noProof/>
          <w:sz w:val="28"/>
          <w:szCs w:val="28"/>
          <w:u w:val="single"/>
        </w:rPr>
        <w:drawing>
          <wp:inline distT="0" distB="0" distL="0" distR="0">
            <wp:extent cx="6645330" cy="4133850"/>
            <wp:effectExtent l="0" t="0" r="3175" b="0"/>
            <wp:docPr id="4" name="Image 4" descr="C:\Users\EPBFIA~1\AppData\Local\Temp\Bloomberg\temp\bfm337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3379.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460" cy="4134553"/>
                    </a:xfrm>
                    <a:prstGeom prst="rect">
                      <a:avLst/>
                    </a:prstGeom>
                    <a:noFill/>
                    <a:ln>
                      <a:noFill/>
                    </a:ln>
                  </pic:spPr>
                </pic:pic>
              </a:graphicData>
            </a:graphic>
          </wp:inline>
        </w:drawing>
      </w:r>
    </w:p>
    <w:p w:rsidR="00B03AED" w:rsidRPr="00B43264" w:rsidRDefault="00B03AED" w:rsidP="006E6472">
      <w:pPr>
        <w:jc w:val="both"/>
        <w:rPr>
          <w:rFonts w:ascii="Arial" w:hAnsi="Arial" w:cs="Arial"/>
          <w:b/>
          <w:bCs/>
          <w:sz w:val="28"/>
          <w:szCs w:val="28"/>
          <w:u w:val="single"/>
          <w:lang w:val="en-US"/>
        </w:rPr>
      </w:pPr>
      <w:r w:rsidRPr="00B43264">
        <w:rPr>
          <w:rFonts w:ascii="Arial" w:hAnsi="Arial" w:cs="Arial"/>
          <w:b/>
          <w:bCs/>
          <w:sz w:val="28"/>
          <w:szCs w:val="28"/>
          <w:u w:val="single"/>
          <w:lang w:val="en-US"/>
        </w:rPr>
        <w:t>Weekly</w:t>
      </w:r>
    </w:p>
    <w:p w:rsidR="00A85203" w:rsidRPr="00B43264" w:rsidRDefault="001D3DCE" w:rsidP="00126BB5">
      <w:pPr>
        <w:ind w:left="-283"/>
        <w:jc w:val="both"/>
        <w:rPr>
          <w:rFonts w:ascii="Arial" w:hAnsi="Arial" w:cs="Arial"/>
          <w:b/>
          <w:bCs/>
          <w:sz w:val="28"/>
          <w:szCs w:val="28"/>
          <w:u w:val="single"/>
          <w:lang w:val="en-US"/>
        </w:rPr>
      </w:pPr>
      <w:r w:rsidRPr="001D3DCE">
        <w:rPr>
          <w:rFonts w:ascii="Arial" w:hAnsi="Arial" w:cs="Arial"/>
          <w:b/>
          <w:bCs/>
          <w:noProof/>
          <w:sz w:val="28"/>
          <w:szCs w:val="28"/>
          <w:u w:val="single"/>
        </w:rPr>
        <w:drawing>
          <wp:inline distT="0" distB="0" distL="0" distR="0">
            <wp:extent cx="6645275" cy="4448175"/>
            <wp:effectExtent l="0" t="0" r="3175" b="9525"/>
            <wp:docPr id="5" name="Image 5" descr="C:\Users\EPBFIA~1\AppData\Local\Temp\Bloomberg\temp\bfm8C4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8C4A.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075" cy="4448710"/>
                    </a:xfrm>
                    <a:prstGeom prst="rect">
                      <a:avLst/>
                    </a:prstGeom>
                    <a:noFill/>
                    <a:ln>
                      <a:noFill/>
                    </a:ln>
                  </pic:spPr>
                </pic:pic>
              </a:graphicData>
            </a:graphic>
          </wp:inline>
        </w:drawing>
      </w:r>
    </w:p>
    <w:p w:rsidR="00733AD4" w:rsidRPr="00B43264" w:rsidRDefault="00A30EF5" w:rsidP="00E81EBB">
      <w:pPr>
        <w:ind w:left="-850"/>
        <w:jc w:val="both"/>
        <w:rPr>
          <w:rFonts w:ascii="Arial" w:hAnsi="Arial" w:cs="Arial"/>
          <w:b/>
          <w:bCs/>
          <w:sz w:val="28"/>
          <w:szCs w:val="28"/>
          <w:u w:val="single"/>
          <w:lang w:val="en-US"/>
        </w:rPr>
      </w:pPr>
      <w:r w:rsidRPr="00B43264">
        <w:rPr>
          <w:rFonts w:ascii="Arial" w:hAnsi="Arial" w:cs="Arial"/>
          <w:b/>
          <w:bCs/>
          <w:sz w:val="28"/>
          <w:szCs w:val="28"/>
          <w:lang w:val="en-US"/>
        </w:rPr>
        <w:lastRenderedPageBreak/>
        <w:t xml:space="preserve">       </w:t>
      </w:r>
      <w:r w:rsidR="00B4277F" w:rsidRPr="00B43264">
        <w:rPr>
          <w:rFonts w:ascii="Arial" w:hAnsi="Arial" w:cs="Arial"/>
          <w:b/>
          <w:bCs/>
          <w:sz w:val="28"/>
          <w:szCs w:val="28"/>
          <w:lang w:val="en-US"/>
        </w:rPr>
        <w:t xml:space="preserve">   </w:t>
      </w:r>
      <w:r w:rsidR="00B03AED" w:rsidRPr="00B43264">
        <w:rPr>
          <w:rFonts w:ascii="Arial" w:hAnsi="Arial" w:cs="Arial"/>
          <w:b/>
          <w:bCs/>
          <w:sz w:val="28"/>
          <w:szCs w:val="28"/>
          <w:u w:val="single"/>
          <w:lang w:val="en-US"/>
        </w:rPr>
        <w:t xml:space="preserve">Daily </w:t>
      </w:r>
    </w:p>
    <w:p w:rsidR="00733AD4" w:rsidRPr="00B43264" w:rsidRDefault="001D3DCE" w:rsidP="00F9531A">
      <w:pPr>
        <w:jc w:val="both"/>
        <w:rPr>
          <w:rFonts w:ascii="Arial" w:hAnsi="Arial" w:cs="Arial"/>
          <w:b/>
          <w:bCs/>
          <w:sz w:val="28"/>
          <w:szCs w:val="28"/>
          <w:u w:val="single"/>
          <w:lang w:val="en-US"/>
        </w:rPr>
      </w:pPr>
      <w:r w:rsidRPr="001D3DCE">
        <w:rPr>
          <w:rFonts w:ascii="Arial" w:hAnsi="Arial" w:cs="Arial"/>
          <w:b/>
          <w:bCs/>
          <w:noProof/>
          <w:sz w:val="28"/>
          <w:szCs w:val="28"/>
          <w:u w:val="single"/>
        </w:rPr>
        <w:drawing>
          <wp:inline distT="0" distB="0" distL="0" distR="0">
            <wp:extent cx="6645330" cy="4305300"/>
            <wp:effectExtent l="0" t="0" r="3175" b="0"/>
            <wp:docPr id="6" name="Image 6" descr="C:\Users\EPBFIA~1\AppData\Local\Temp\Bloomberg\temp\bfm5FB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5FB8.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735" cy="4306210"/>
                    </a:xfrm>
                    <a:prstGeom prst="rect">
                      <a:avLst/>
                    </a:prstGeom>
                    <a:noFill/>
                    <a:ln>
                      <a:noFill/>
                    </a:ln>
                  </pic:spPr>
                </pic:pic>
              </a:graphicData>
            </a:graphic>
          </wp:inline>
        </w:drawing>
      </w:r>
    </w:p>
    <w:p w:rsidR="008F46BD" w:rsidRPr="001D3DCE" w:rsidRDefault="008F46BD" w:rsidP="005255A2">
      <w:pPr>
        <w:tabs>
          <w:tab w:val="left" w:pos="5868"/>
        </w:tabs>
        <w:autoSpaceDE w:val="0"/>
        <w:jc w:val="both"/>
        <w:rPr>
          <w:rFonts w:ascii="Arial" w:hAnsi="Arial" w:cs="Arial"/>
          <w:b/>
          <w:bCs/>
          <w:sz w:val="28"/>
          <w:szCs w:val="28"/>
          <w:u w:val="single"/>
          <w:lang w:val="en-US"/>
        </w:rPr>
      </w:pPr>
    </w:p>
    <w:p w:rsidR="001805A5" w:rsidRDefault="00D2583B" w:rsidP="00A321F0">
      <w:pPr>
        <w:tabs>
          <w:tab w:val="left" w:pos="5868"/>
        </w:tabs>
        <w:autoSpaceDE w:val="0"/>
        <w:jc w:val="both"/>
        <w:rPr>
          <w:rFonts w:ascii="Tahoma" w:hAnsi="Tahoma" w:cs="Tahoma"/>
        </w:rPr>
      </w:pPr>
      <w:r w:rsidRPr="00277F15">
        <w:rPr>
          <w:rFonts w:ascii="Arial" w:hAnsi="Arial" w:cs="Arial"/>
          <w:b/>
          <w:bCs/>
        </w:rPr>
        <w:t>M</w:t>
      </w:r>
      <w:r w:rsidRPr="00277F15">
        <w:rPr>
          <w:rFonts w:ascii="Tahoma" w:hAnsi="Tahoma" w:cs="Tahoma"/>
        </w:rPr>
        <w:t xml:space="preserve"> : </w:t>
      </w:r>
      <w:r w:rsidR="00E808AE" w:rsidRPr="00277F15">
        <w:rPr>
          <w:rFonts w:ascii="Tahoma" w:hAnsi="Tahoma" w:cs="Tahoma"/>
        </w:rPr>
        <w:t xml:space="preserve">Le </w:t>
      </w:r>
      <w:r w:rsidR="00277F15" w:rsidRPr="00277F15">
        <w:rPr>
          <w:rFonts w:ascii="Tahoma" w:hAnsi="Tahoma" w:cs="Tahoma"/>
        </w:rPr>
        <w:t xml:space="preserve">maintien </w:t>
      </w:r>
      <w:r w:rsidR="00192A0D">
        <w:rPr>
          <w:rFonts w:ascii="Tahoma" w:hAnsi="Tahoma" w:cs="Tahoma"/>
        </w:rPr>
        <w:t>de la LS</w:t>
      </w:r>
      <w:r w:rsidR="00277F15" w:rsidRPr="00277F15">
        <w:rPr>
          <w:rFonts w:ascii="Tahoma" w:hAnsi="Tahoma" w:cs="Tahoma"/>
        </w:rPr>
        <w:t xml:space="preserve"> </w:t>
      </w:r>
      <w:r w:rsidR="00AC7C38" w:rsidRPr="00277F15">
        <w:rPr>
          <w:rFonts w:ascii="Tahoma" w:hAnsi="Tahoma" w:cs="Tahoma"/>
        </w:rPr>
        <w:t>au-dessus</w:t>
      </w:r>
      <w:r w:rsidR="00277F15" w:rsidRPr="00277F15">
        <w:rPr>
          <w:rFonts w:ascii="Tahoma" w:hAnsi="Tahoma" w:cs="Tahoma"/>
        </w:rPr>
        <w:t xml:space="preserve"> de la borne haute de son </w:t>
      </w:r>
      <w:r w:rsidR="00192A0D">
        <w:rPr>
          <w:rFonts w:ascii="Tahoma" w:hAnsi="Tahoma" w:cs="Tahoma"/>
        </w:rPr>
        <w:t>nuage de 2.57 est essentiel pour continuer d’avantager le contexte haussier sur le long terme.</w:t>
      </w:r>
    </w:p>
    <w:p w:rsidR="00F272A7" w:rsidRPr="00277F15" w:rsidRDefault="00F272A7" w:rsidP="00A321F0">
      <w:pPr>
        <w:tabs>
          <w:tab w:val="left" w:pos="5868"/>
        </w:tabs>
        <w:autoSpaceDE w:val="0"/>
        <w:jc w:val="both"/>
        <w:rPr>
          <w:rFonts w:ascii="Tahoma" w:hAnsi="Tahoma" w:cs="Tahoma"/>
        </w:rPr>
      </w:pPr>
      <w:r>
        <w:rPr>
          <w:rFonts w:ascii="Tahoma" w:hAnsi="Tahoma" w:cs="Tahoma"/>
        </w:rPr>
        <w:t xml:space="preserve">Sur cette unité de temps sous 3.26 et </w:t>
      </w:r>
      <w:r w:rsidR="00AC7C38">
        <w:rPr>
          <w:rFonts w:ascii="Tahoma" w:hAnsi="Tahoma" w:cs="Tahoma"/>
        </w:rPr>
        <w:t>au-dessus</w:t>
      </w:r>
      <w:r>
        <w:rPr>
          <w:rFonts w:ascii="Tahoma" w:hAnsi="Tahoma" w:cs="Tahoma"/>
        </w:rPr>
        <w:t xml:space="preserve"> de 2.54 la TS s’aplatira sur 2.90 pour servir de résistance. La KS prendra la même orientation sur 2.63 entre 2.01 et 3.26.</w:t>
      </w:r>
      <w:r w:rsidR="003728FB">
        <w:rPr>
          <w:rFonts w:ascii="Tahoma" w:hAnsi="Tahoma" w:cs="Tahoma"/>
        </w:rPr>
        <w:t xml:space="preserve"> Elle servira de support ou de résistance selon la position du 10 ans.</w:t>
      </w:r>
    </w:p>
    <w:p w:rsidR="00D8157E" w:rsidRPr="00277F15" w:rsidRDefault="00D8157E" w:rsidP="00D2583B">
      <w:pPr>
        <w:tabs>
          <w:tab w:val="left" w:pos="5868"/>
        </w:tabs>
        <w:autoSpaceDE w:val="0"/>
        <w:jc w:val="both"/>
        <w:rPr>
          <w:rFonts w:ascii="Tahoma" w:hAnsi="Tahoma" w:cs="Tahoma"/>
        </w:rPr>
      </w:pPr>
    </w:p>
    <w:p w:rsidR="009910DB" w:rsidRPr="00E808AE" w:rsidRDefault="00D2583B" w:rsidP="00A321F0">
      <w:pPr>
        <w:jc w:val="both"/>
        <w:rPr>
          <w:rFonts w:ascii="Arial" w:hAnsi="Arial" w:cs="Arial"/>
          <w:bCs/>
        </w:rPr>
      </w:pPr>
      <w:bookmarkStart w:id="1" w:name="_Hlk510791573"/>
      <w:r w:rsidRPr="00E808AE">
        <w:rPr>
          <w:rFonts w:ascii="Arial" w:hAnsi="Arial" w:cs="Arial"/>
          <w:b/>
          <w:bCs/>
        </w:rPr>
        <w:t xml:space="preserve">W : </w:t>
      </w:r>
      <w:r w:rsidR="006275D6" w:rsidRPr="00E808AE">
        <w:rPr>
          <w:rFonts w:ascii="Arial" w:hAnsi="Arial" w:cs="Arial"/>
          <w:bCs/>
        </w:rPr>
        <w:t xml:space="preserve"> </w:t>
      </w:r>
      <w:r w:rsidR="000723D8" w:rsidRPr="00E808AE">
        <w:rPr>
          <w:rFonts w:ascii="Arial" w:hAnsi="Arial" w:cs="Arial"/>
          <w:bCs/>
        </w:rPr>
        <w:t>L</w:t>
      </w:r>
      <w:r w:rsidR="00616F44">
        <w:rPr>
          <w:rFonts w:ascii="Arial" w:hAnsi="Arial" w:cs="Arial"/>
          <w:bCs/>
        </w:rPr>
        <w:t xml:space="preserve">e </w:t>
      </w:r>
      <w:r w:rsidR="0052182E">
        <w:rPr>
          <w:rFonts w:ascii="Arial" w:hAnsi="Arial" w:cs="Arial"/>
          <w:bCs/>
        </w:rPr>
        <w:t xml:space="preserve">contexte reste haussier sur le moyen terme. Une remise en question de cet environnement passera dans un premier temps par une cassure de 2.57. </w:t>
      </w:r>
      <w:r w:rsidR="00FF1ED0">
        <w:rPr>
          <w:rFonts w:ascii="Arial" w:hAnsi="Arial" w:cs="Arial"/>
          <w:bCs/>
        </w:rPr>
        <w:t>D’une part la cassure de 2.57 positionnera le taux sous son nuage, d’autre part elle permettra au nuage futur de s’orienter à la baisse.</w:t>
      </w:r>
    </w:p>
    <w:p w:rsidR="00CF690F" w:rsidRDefault="00FF1ED0" w:rsidP="00CF690F">
      <w:pPr>
        <w:jc w:val="both"/>
        <w:rPr>
          <w:rFonts w:ascii="Arial" w:hAnsi="Arial" w:cs="Arial"/>
          <w:bCs/>
        </w:rPr>
      </w:pPr>
      <w:r>
        <w:rPr>
          <w:rFonts w:ascii="Arial" w:hAnsi="Arial" w:cs="Arial"/>
          <w:bCs/>
        </w:rPr>
        <w:t xml:space="preserve">Cette rupture devra alors </w:t>
      </w:r>
      <w:r w:rsidR="00AC7C38">
        <w:rPr>
          <w:rFonts w:ascii="Arial" w:hAnsi="Arial" w:cs="Arial"/>
          <w:bCs/>
        </w:rPr>
        <w:t>être</w:t>
      </w:r>
      <w:r>
        <w:rPr>
          <w:rFonts w:ascii="Arial" w:hAnsi="Arial" w:cs="Arial"/>
          <w:bCs/>
        </w:rPr>
        <w:t xml:space="preserve"> confirmée par un retour du marché sous 2.43.</w:t>
      </w:r>
    </w:p>
    <w:p w:rsidR="00FF1ED0" w:rsidRDefault="00565330" w:rsidP="00CF690F">
      <w:pPr>
        <w:jc w:val="both"/>
        <w:rPr>
          <w:rFonts w:ascii="Arial" w:hAnsi="Arial" w:cs="Arial"/>
          <w:bCs/>
        </w:rPr>
      </w:pPr>
      <w:r>
        <w:rPr>
          <w:rFonts w:ascii="Arial" w:hAnsi="Arial" w:cs="Arial"/>
          <w:bCs/>
        </w:rPr>
        <w:t>Sur cette unité de temps, la hausse sera limitée par le plat de KS de 2.90, résistance renforcée par l’unité de temps supérieure.</w:t>
      </w:r>
    </w:p>
    <w:p w:rsidR="00FF1ED0" w:rsidRPr="00E808AE" w:rsidRDefault="00FF1ED0" w:rsidP="00CF690F">
      <w:pPr>
        <w:jc w:val="both"/>
        <w:rPr>
          <w:rFonts w:ascii="Tahoma" w:hAnsi="Tahoma" w:cs="Tahoma"/>
        </w:rPr>
      </w:pPr>
    </w:p>
    <w:p w:rsidR="00A75D43" w:rsidRDefault="003D663C" w:rsidP="00A321F0">
      <w:pPr>
        <w:jc w:val="both"/>
        <w:rPr>
          <w:rFonts w:ascii="Arial" w:hAnsi="Arial" w:cs="Arial"/>
          <w:bCs/>
        </w:rPr>
      </w:pPr>
      <w:r>
        <w:rPr>
          <w:rFonts w:ascii="Arial" w:hAnsi="Arial" w:cs="Arial"/>
          <w:b/>
          <w:bCs/>
        </w:rPr>
        <w:t>D</w:t>
      </w:r>
      <w:r w:rsidR="00032EF8">
        <w:rPr>
          <w:rFonts w:ascii="Arial" w:hAnsi="Arial" w:cs="Arial"/>
          <w:b/>
          <w:bCs/>
        </w:rPr>
        <w:t> </w:t>
      </w:r>
      <w:bookmarkEnd w:id="1"/>
      <w:r w:rsidR="00032EF8">
        <w:rPr>
          <w:rFonts w:ascii="Arial" w:hAnsi="Arial" w:cs="Arial"/>
          <w:b/>
          <w:bCs/>
        </w:rPr>
        <w:t xml:space="preserve">: </w:t>
      </w:r>
      <w:r w:rsidR="00A321F0">
        <w:rPr>
          <w:rFonts w:ascii="Arial" w:hAnsi="Arial" w:cs="Arial"/>
          <w:bCs/>
        </w:rPr>
        <w:t>L</w:t>
      </w:r>
      <w:r w:rsidR="007A6C47">
        <w:rPr>
          <w:rFonts w:ascii="Arial" w:hAnsi="Arial" w:cs="Arial"/>
          <w:bCs/>
        </w:rPr>
        <w:t>a KS s’est aplatie sur 2.72 pour servir de pivot. Elle poursuivra cette direction en début de semaine puis baissera progressivement par la suite.</w:t>
      </w:r>
    </w:p>
    <w:p w:rsidR="00AB536D" w:rsidRPr="00AB536D" w:rsidRDefault="00AC7C38" w:rsidP="00A321F0">
      <w:pPr>
        <w:jc w:val="both"/>
        <w:rPr>
          <w:rFonts w:ascii="Arial" w:hAnsi="Arial" w:cs="Arial"/>
          <w:bCs/>
        </w:rPr>
      </w:pPr>
      <w:r>
        <w:rPr>
          <w:rFonts w:ascii="Arial" w:hAnsi="Arial" w:cs="Arial"/>
          <w:bCs/>
        </w:rPr>
        <w:t>Au-dessus</w:t>
      </w:r>
      <w:r w:rsidR="00AB536D">
        <w:rPr>
          <w:rFonts w:ascii="Arial" w:hAnsi="Arial" w:cs="Arial"/>
          <w:bCs/>
        </w:rPr>
        <w:t xml:space="preserve"> de 2.72, le 10 ans trouvera de l’espace pour progresser en direction de la bordure basse de son nuage. Elle formera une résistance décroissante comprise entre 2.98 et 2.89. Le plat de nuage futur renforce la résistance de 2.90.</w:t>
      </w:r>
    </w:p>
    <w:p w:rsidR="00952237" w:rsidRPr="00C85B65" w:rsidRDefault="00952237" w:rsidP="00CF690F">
      <w:pPr>
        <w:jc w:val="both"/>
        <w:rPr>
          <w:rFonts w:ascii="Tahoma" w:hAnsi="Tahoma" w:cs="Tahoma"/>
        </w:rPr>
      </w:pPr>
    </w:p>
    <w:p w:rsidR="00621305" w:rsidRPr="00636A76" w:rsidRDefault="00621305" w:rsidP="006E6472">
      <w:pPr>
        <w:jc w:val="both"/>
        <w:rPr>
          <w:rFonts w:ascii="Tahoma" w:hAnsi="Tahoma" w:cs="Tahoma"/>
        </w:rPr>
      </w:pPr>
    </w:p>
    <w:p w:rsidR="00A321F0" w:rsidRDefault="00F72829" w:rsidP="00C8169C">
      <w:pPr>
        <w:jc w:val="both"/>
        <w:rPr>
          <w:rFonts w:ascii="Arial" w:hAnsi="Arial" w:cs="Arial"/>
          <w:b/>
          <w:color w:val="00B050"/>
        </w:rPr>
      </w:pPr>
      <w:r w:rsidRPr="00327F45">
        <w:rPr>
          <w:rFonts w:ascii="Arial" w:hAnsi="Arial" w:cs="Arial"/>
          <w:b/>
          <w:color w:val="00B050"/>
          <w:u w:val="single"/>
        </w:rPr>
        <w:t>HEBDOMADAIRE</w:t>
      </w:r>
      <w:r w:rsidRPr="00327F45">
        <w:rPr>
          <w:rFonts w:ascii="Arial" w:hAnsi="Arial" w:cs="Arial"/>
          <w:b/>
          <w:color w:val="00B050"/>
        </w:rPr>
        <w:t xml:space="preserve"> : </w:t>
      </w:r>
      <w:r w:rsidR="00AC7C38" w:rsidRPr="00327F45">
        <w:rPr>
          <w:rFonts w:ascii="Arial" w:hAnsi="Arial" w:cs="Arial"/>
          <w:b/>
          <w:color w:val="00B050"/>
        </w:rPr>
        <w:t>Au-dessus</w:t>
      </w:r>
      <w:r w:rsidR="00AB536D" w:rsidRPr="00327F45">
        <w:rPr>
          <w:rFonts w:ascii="Arial" w:hAnsi="Arial" w:cs="Arial"/>
          <w:b/>
          <w:color w:val="00B050"/>
        </w:rPr>
        <w:t xml:space="preserve"> de la KS qui sera une bonne partie de la semaine sur 2.72, le biais avantagera la poursuite de la correction haussière. Cette dernière devrait se limiter à la résistance de 2.90, point visible sur les 3 unités de temps.</w:t>
      </w:r>
    </w:p>
    <w:p w:rsidR="00690775" w:rsidRDefault="00690775" w:rsidP="00C8169C">
      <w:pPr>
        <w:jc w:val="both"/>
        <w:rPr>
          <w:rFonts w:ascii="Arial" w:hAnsi="Arial" w:cs="Arial"/>
          <w:b/>
          <w:color w:val="00B050"/>
        </w:rPr>
      </w:pPr>
    </w:p>
    <w:p w:rsidR="00690775" w:rsidRPr="00690775" w:rsidRDefault="00690775" w:rsidP="00C8169C">
      <w:pPr>
        <w:jc w:val="both"/>
        <w:rPr>
          <w:rFonts w:ascii="Arial" w:hAnsi="Arial" w:cs="Arial"/>
          <w:b/>
          <w:color w:val="00B050"/>
        </w:rPr>
      </w:pPr>
      <w:bookmarkStart w:id="2" w:name="_GoBack"/>
      <w:bookmarkEnd w:id="2"/>
    </w:p>
    <w:bookmarkEnd w:id="0"/>
    <w:sectPr w:rsidR="00690775" w:rsidRPr="00690775"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690775">
          <w:rPr>
            <w:noProof/>
          </w:rPr>
          <w:t>10</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62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103AA"/>
    <w:rsid w:val="00011200"/>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6DF"/>
    <w:rsid w:val="0005450A"/>
    <w:rsid w:val="00056751"/>
    <w:rsid w:val="00057734"/>
    <w:rsid w:val="0006069D"/>
    <w:rsid w:val="0006091F"/>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74DF"/>
    <w:rsid w:val="00090B79"/>
    <w:rsid w:val="00093D02"/>
    <w:rsid w:val="00094EB3"/>
    <w:rsid w:val="0009578D"/>
    <w:rsid w:val="0009601D"/>
    <w:rsid w:val="000A0E9B"/>
    <w:rsid w:val="000A320E"/>
    <w:rsid w:val="000A3D69"/>
    <w:rsid w:val="000A4A04"/>
    <w:rsid w:val="000A6B9D"/>
    <w:rsid w:val="000B0BE6"/>
    <w:rsid w:val="000B156B"/>
    <w:rsid w:val="000B6ECC"/>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D9D"/>
    <w:rsid w:val="000D72F9"/>
    <w:rsid w:val="000D7ED2"/>
    <w:rsid w:val="000E0A8B"/>
    <w:rsid w:val="000E4AFF"/>
    <w:rsid w:val="000E52B2"/>
    <w:rsid w:val="000E52E1"/>
    <w:rsid w:val="000E620B"/>
    <w:rsid w:val="000E65BF"/>
    <w:rsid w:val="000F109D"/>
    <w:rsid w:val="000F2BAA"/>
    <w:rsid w:val="000F565E"/>
    <w:rsid w:val="000F7250"/>
    <w:rsid w:val="000F7495"/>
    <w:rsid w:val="000F7BEC"/>
    <w:rsid w:val="00100473"/>
    <w:rsid w:val="001017C5"/>
    <w:rsid w:val="00101F48"/>
    <w:rsid w:val="001029BE"/>
    <w:rsid w:val="00103D3B"/>
    <w:rsid w:val="00104E12"/>
    <w:rsid w:val="0010583E"/>
    <w:rsid w:val="00112311"/>
    <w:rsid w:val="00112363"/>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74FD"/>
    <w:rsid w:val="00151611"/>
    <w:rsid w:val="00151A43"/>
    <w:rsid w:val="00152500"/>
    <w:rsid w:val="00152726"/>
    <w:rsid w:val="00153297"/>
    <w:rsid w:val="00153318"/>
    <w:rsid w:val="00153487"/>
    <w:rsid w:val="00155762"/>
    <w:rsid w:val="001562F5"/>
    <w:rsid w:val="001620BC"/>
    <w:rsid w:val="0016468C"/>
    <w:rsid w:val="00164E23"/>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900F2"/>
    <w:rsid w:val="00190AAE"/>
    <w:rsid w:val="001929A4"/>
    <w:rsid w:val="00192A0D"/>
    <w:rsid w:val="0019448F"/>
    <w:rsid w:val="001944C7"/>
    <w:rsid w:val="0019471F"/>
    <w:rsid w:val="001949F6"/>
    <w:rsid w:val="00194BF8"/>
    <w:rsid w:val="001954B6"/>
    <w:rsid w:val="00196168"/>
    <w:rsid w:val="00197EFA"/>
    <w:rsid w:val="001A01D2"/>
    <w:rsid w:val="001A06F3"/>
    <w:rsid w:val="001A0FCE"/>
    <w:rsid w:val="001A24E1"/>
    <w:rsid w:val="001A3568"/>
    <w:rsid w:val="001A6D35"/>
    <w:rsid w:val="001A70FB"/>
    <w:rsid w:val="001A7163"/>
    <w:rsid w:val="001B1120"/>
    <w:rsid w:val="001B1285"/>
    <w:rsid w:val="001B1B61"/>
    <w:rsid w:val="001B313E"/>
    <w:rsid w:val="001B6534"/>
    <w:rsid w:val="001C0911"/>
    <w:rsid w:val="001C0A29"/>
    <w:rsid w:val="001C1C7A"/>
    <w:rsid w:val="001C2D3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298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546"/>
    <w:rsid w:val="00220D12"/>
    <w:rsid w:val="002218AD"/>
    <w:rsid w:val="00222827"/>
    <w:rsid w:val="00226C24"/>
    <w:rsid w:val="002308C6"/>
    <w:rsid w:val="00230B15"/>
    <w:rsid w:val="00233557"/>
    <w:rsid w:val="0023366A"/>
    <w:rsid w:val="00235DEB"/>
    <w:rsid w:val="0023751E"/>
    <w:rsid w:val="002412DD"/>
    <w:rsid w:val="00243A7F"/>
    <w:rsid w:val="002465CA"/>
    <w:rsid w:val="002505D9"/>
    <w:rsid w:val="002506D7"/>
    <w:rsid w:val="00252295"/>
    <w:rsid w:val="002525D8"/>
    <w:rsid w:val="0025315D"/>
    <w:rsid w:val="00253590"/>
    <w:rsid w:val="00254989"/>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9217A"/>
    <w:rsid w:val="00292AF0"/>
    <w:rsid w:val="00294B9B"/>
    <w:rsid w:val="002A207A"/>
    <w:rsid w:val="002A2E2C"/>
    <w:rsid w:val="002A322F"/>
    <w:rsid w:val="002A3BA9"/>
    <w:rsid w:val="002A3CA4"/>
    <w:rsid w:val="002A46CF"/>
    <w:rsid w:val="002A6332"/>
    <w:rsid w:val="002A634E"/>
    <w:rsid w:val="002A63D2"/>
    <w:rsid w:val="002A6510"/>
    <w:rsid w:val="002B02D3"/>
    <w:rsid w:val="002B0A38"/>
    <w:rsid w:val="002B268E"/>
    <w:rsid w:val="002B4084"/>
    <w:rsid w:val="002B5AD8"/>
    <w:rsid w:val="002B6F36"/>
    <w:rsid w:val="002C101E"/>
    <w:rsid w:val="002C17CF"/>
    <w:rsid w:val="002C1ABF"/>
    <w:rsid w:val="002C2834"/>
    <w:rsid w:val="002C2DC2"/>
    <w:rsid w:val="002C3C75"/>
    <w:rsid w:val="002C4B3C"/>
    <w:rsid w:val="002C5FAC"/>
    <w:rsid w:val="002C77B2"/>
    <w:rsid w:val="002D1323"/>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631A"/>
    <w:rsid w:val="002F6B57"/>
    <w:rsid w:val="00301413"/>
    <w:rsid w:val="00304ABD"/>
    <w:rsid w:val="00304D6E"/>
    <w:rsid w:val="0031071E"/>
    <w:rsid w:val="003116D7"/>
    <w:rsid w:val="003133A3"/>
    <w:rsid w:val="003144DD"/>
    <w:rsid w:val="00314C8B"/>
    <w:rsid w:val="0031658C"/>
    <w:rsid w:val="003166BC"/>
    <w:rsid w:val="00317596"/>
    <w:rsid w:val="003228D3"/>
    <w:rsid w:val="00322FA9"/>
    <w:rsid w:val="003233B1"/>
    <w:rsid w:val="003240DA"/>
    <w:rsid w:val="003261EE"/>
    <w:rsid w:val="00326368"/>
    <w:rsid w:val="00326A93"/>
    <w:rsid w:val="00326EA9"/>
    <w:rsid w:val="00327F45"/>
    <w:rsid w:val="00330C78"/>
    <w:rsid w:val="00332645"/>
    <w:rsid w:val="00337BE0"/>
    <w:rsid w:val="003411EA"/>
    <w:rsid w:val="0034135F"/>
    <w:rsid w:val="0034170D"/>
    <w:rsid w:val="00343C2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961"/>
    <w:rsid w:val="00367053"/>
    <w:rsid w:val="00367239"/>
    <w:rsid w:val="00367599"/>
    <w:rsid w:val="003702C4"/>
    <w:rsid w:val="003728FB"/>
    <w:rsid w:val="00373142"/>
    <w:rsid w:val="003750B6"/>
    <w:rsid w:val="003754F3"/>
    <w:rsid w:val="00377440"/>
    <w:rsid w:val="0037765A"/>
    <w:rsid w:val="0038013D"/>
    <w:rsid w:val="00380FB7"/>
    <w:rsid w:val="0038119F"/>
    <w:rsid w:val="00381240"/>
    <w:rsid w:val="00382502"/>
    <w:rsid w:val="00383BAC"/>
    <w:rsid w:val="0038454B"/>
    <w:rsid w:val="00385E03"/>
    <w:rsid w:val="00385F69"/>
    <w:rsid w:val="0038658B"/>
    <w:rsid w:val="003908C4"/>
    <w:rsid w:val="00392DBA"/>
    <w:rsid w:val="00393320"/>
    <w:rsid w:val="003948B3"/>
    <w:rsid w:val="00394A95"/>
    <w:rsid w:val="003952D7"/>
    <w:rsid w:val="00395A11"/>
    <w:rsid w:val="00395D33"/>
    <w:rsid w:val="00397BA3"/>
    <w:rsid w:val="003A1222"/>
    <w:rsid w:val="003A24E8"/>
    <w:rsid w:val="003A32D7"/>
    <w:rsid w:val="003B2136"/>
    <w:rsid w:val="003B2B32"/>
    <w:rsid w:val="003B2CFF"/>
    <w:rsid w:val="003B53BC"/>
    <w:rsid w:val="003B5E8C"/>
    <w:rsid w:val="003B63F5"/>
    <w:rsid w:val="003B75F0"/>
    <w:rsid w:val="003B7952"/>
    <w:rsid w:val="003C0097"/>
    <w:rsid w:val="003C03CD"/>
    <w:rsid w:val="003C0B4D"/>
    <w:rsid w:val="003C1462"/>
    <w:rsid w:val="003C27DA"/>
    <w:rsid w:val="003C4EDA"/>
    <w:rsid w:val="003D08EB"/>
    <w:rsid w:val="003D41A5"/>
    <w:rsid w:val="003D663C"/>
    <w:rsid w:val="003E1B3F"/>
    <w:rsid w:val="003E286C"/>
    <w:rsid w:val="003E3CAD"/>
    <w:rsid w:val="003E3E0C"/>
    <w:rsid w:val="003E462E"/>
    <w:rsid w:val="003E5A71"/>
    <w:rsid w:val="003E749D"/>
    <w:rsid w:val="003F4023"/>
    <w:rsid w:val="003F42D2"/>
    <w:rsid w:val="003F502F"/>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5641"/>
    <w:rsid w:val="00416B48"/>
    <w:rsid w:val="00416F1A"/>
    <w:rsid w:val="00420C45"/>
    <w:rsid w:val="00420D5B"/>
    <w:rsid w:val="004225A5"/>
    <w:rsid w:val="00422637"/>
    <w:rsid w:val="00423B60"/>
    <w:rsid w:val="00423E08"/>
    <w:rsid w:val="0043066E"/>
    <w:rsid w:val="004306D5"/>
    <w:rsid w:val="0043099C"/>
    <w:rsid w:val="0043164A"/>
    <w:rsid w:val="00432229"/>
    <w:rsid w:val="00432974"/>
    <w:rsid w:val="004337C8"/>
    <w:rsid w:val="0044041C"/>
    <w:rsid w:val="00440575"/>
    <w:rsid w:val="004411EA"/>
    <w:rsid w:val="00442012"/>
    <w:rsid w:val="004465AF"/>
    <w:rsid w:val="00446A18"/>
    <w:rsid w:val="00447612"/>
    <w:rsid w:val="00447F13"/>
    <w:rsid w:val="00451C8C"/>
    <w:rsid w:val="0045309C"/>
    <w:rsid w:val="00454022"/>
    <w:rsid w:val="00456985"/>
    <w:rsid w:val="00457643"/>
    <w:rsid w:val="00461D48"/>
    <w:rsid w:val="00462BAF"/>
    <w:rsid w:val="00464BA2"/>
    <w:rsid w:val="004657DD"/>
    <w:rsid w:val="0046677B"/>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C0997"/>
    <w:rsid w:val="004C107D"/>
    <w:rsid w:val="004C1D94"/>
    <w:rsid w:val="004C57CF"/>
    <w:rsid w:val="004C7595"/>
    <w:rsid w:val="004C793E"/>
    <w:rsid w:val="004D02B8"/>
    <w:rsid w:val="004D2E5B"/>
    <w:rsid w:val="004D3429"/>
    <w:rsid w:val="004D34DF"/>
    <w:rsid w:val="004D3A21"/>
    <w:rsid w:val="004D6D25"/>
    <w:rsid w:val="004E02D3"/>
    <w:rsid w:val="004E2FE7"/>
    <w:rsid w:val="004E4C26"/>
    <w:rsid w:val="004E4DA1"/>
    <w:rsid w:val="004E5DFE"/>
    <w:rsid w:val="004F3450"/>
    <w:rsid w:val="004F35A1"/>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182E"/>
    <w:rsid w:val="00521EE7"/>
    <w:rsid w:val="005224FA"/>
    <w:rsid w:val="0052288F"/>
    <w:rsid w:val="005240F6"/>
    <w:rsid w:val="005255A2"/>
    <w:rsid w:val="005258D6"/>
    <w:rsid w:val="0053209A"/>
    <w:rsid w:val="0054005C"/>
    <w:rsid w:val="0054194A"/>
    <w:rsid w:val="0054241C"/>
    <w:rsid w:val="005428F6"/>
    <w:rsid w:val="00542FB4"/>
    <w:rsid w:val="0054379C"/>
    <w:rsid w:val="005442B1"/>
    <w:rsid w:val="00545526"/>
    <w:rsid w:val="00545E40"/>
    <w:rsid w:val="005530C2"/>
    <w:rsid w:val="005542F2"/>
    <w:rsid w:val="005600F6"/>
    <w:rsid w:val="005622FD"/>
    <w:rsid w:val="00562C92"/>
    <w:rsid w:val="0056304D"/>
    <w:rsid w:val="0056419E"/>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4992"/>
    <w:rsid w:val="005A5601"/>
    <w:rsid w:val="005A7A3E"/>
    <w:rsid w:val="005B08BC"/>
    <w:rsid w:val="005B0BD1"/>
    <w:rsid w:val="005B781D"/>
    <w:rsid w:val="005C3180"/>
    <w:rsid w:val="005C5E67"/>
    <w:rsid w:val="005C608B"/>
    <w:rsid w:val="005D0A4B"/>
    <w:rsid w:val="005D1AE2"/>
    <w:rsid w:val="005D40A6"/>
    <w:rsid w:val="005D451E"/>
    <w:rsid w:val="005D5441"/>
    <w:rsid w:val="005D5660"/>
    <w:rsid w:val="005D7228"/>
    <w:rsid w:val="005E0045"/>
    <w:rsid w:val="005E3841"/>
    <w:rsid w:val="005E3A9D"/>
    <w:rsid w:val="005E4948"/>
    <w:rsid w:val="005F0148"/>
    <w:rsid w:val="005F0764"/>
    <w:rsid w:val="005F7340"/>
    <w:rsid w:val="0060114F"/>
    <w:rsid w:val="0060274E"/>
    <w:rsid w:val="00602AC0"/>
    <w:rsid w:val="006048FD"/>
    <w:rsid w:val="00606B55"/>
    <w:rsid w:val="00606F69"/>
    <w:rsid w:val="00606FF3"/>
    <w:rsid w:val="00607B8E"/>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445B"/>
    <w:rsid w:val="00634E87"/>
    <w:rsid w:val="00635070"/>
    <w:rsid w:val="006360F4"/>
    <w:rsid w:val="00636A76"/>
    <w:rsid w:val="006374F9"/>
    <w:rsid w:val="006420ED"/>
    <w:rsid w:val="006423C5"/>
    <w:rsid w:val="00643293"/>
    <w:rsid w:val="00643C41"/>
    <w:rsid w:val="00645868"/>
    <w:rsid w:val="00650C73"/>
    <w:rsid w:val="00652F6E"/>
    <w:rsid w:val="00653DBA"/>
    <w:rsid w:val="00654221"/>
    <w:rsid w:val="0066004C"/>
    <w:rsid w:val="006641B7"/>
    <w:rsid w:val="00670CF7"/>
    <w:rsid w:val="00673AB2"/>
    <w:rsid w:val="00675360"/>
    <w:rsid w:val="0067627F"/>
    <w:rsid w:val="00676870"/>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4DA"/>
    <w:rsid w:val="006B021C"/>
    <w:rsid w:val="006B0A0C"/>
    <w:rsid w:val="006B0BF0"/>
    <w:rsid w:val="006B196C"/>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D0E"/>
    <w:rsid w:val="006D6654"/>
    <w:rsid w:val="006D6C35"/>
    <w:rsid w:val="006D7DCD"/>
    <w:rsid w:val="006E0AD0"/>
    <w:rsid w:val="006E0DCC"/>
    <w:rsid w:val="006E1A3A"/>
    <w:rsid w:val="006E6472"/>
    <w:rsid w:val="006F0A91"/>
    <w:rsid w:val="006F0BEC"/>
    <w:rsid w:val="006F4736"/>
    <w:rsid w:val="006F48CB"/>
    <w:rsid w:val="006F4939"/>
    <w:rsid w:val="006F6A52"/>
    <w:rsid w:val="006F7044"/>
    <w:rsid w:val="0070192F"/>
    <w:rsid w:val="00702A9F"/>
    <w:rsid w:val="00703DD8"/>
    <w:rsid w:val="007046BB"/>
    <w:rsid w:val="00704A64"/>
    <w:rsid w:val="0070643A"/>
    <w:rsid w:val="00707789"/>
    <w:rsid w:val="00710719"/>
    <w:rsid w:val="0071138F"/>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F13"/>
    <w:rsid w:val="00755C4D"/>
    <w:rsid w:val="007574BC"/>
    <w:rsid w:val="0076073C"/>
    <w:rsid w:val="00761A6E"/>
    <w:rsid w:val="00762F69"/>
    <w:rsid w:val="007633DD"/>
    <w:rsid w:val="00763578"/>
    <w:rsid w:val="00763833"/>
    <w:rsid w:val="00764E65"/>
    <w:rsid w:val="0076534A"/>
    <w:rsid w:val="007658F2"/>
    <w:rsid w:val="007672B9"/>
    <w:rsid w:val="00770199"/>
    <w:rsid w:val="0077185D"/>
    <w:rsid w:val="00772BD6"/>
    <w:rsid w:val="00772C5B"/>
    <w:rsid w:val="0077442B"/>
    <w:rsid w:val="00774BF3"/>
    <w:rsid w:val="00775E44"/>
    <w:rsid w:val="00776C3E"/>
    <w:rsid w:val="007774E7"/>
    <w:rsid w:val="007801B9"/>
    <w:rsid w:val="0078049F"/>
    <w:rsid w:val="0078148C"/>
    <w:rsid w:val="00781543"/>
    <w:rsid w:val="00781605"/>
    <w:rsid w:val="00782DF8"/>
    <w:rsid w:val="00783951"/>
    <w:rsid w:val="0079207B"/>
    <w:rsid w:val="0079235F"/>
    <w:rsid w:val="0079307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485A"/>
    <w:rsid w:val="00854929"/>
    <w:rsid w:val="00855054"/>
    <w:rsid w:val="008551EB"/>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2BC2"/>
    <w:rsid w:val="008D4909"/>
    <w:rsid w:val="008D490D"/>
    <w:rsid w:val="008E1392"/>
    <w:rsid w:val="008E220D"/>
    <w:rsid w:val="008E2679"/>
    <w:rsid w:val="008E426B"/>
    <w:rsid w:val="008F066B"/>
    <w:rsid w:val="008F1539"/>
    <w:rsid w:val="008F180E"/>
    <w:rsid w:val="008F40E5"/>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E53"/>
    <w:rsid w:val="00913915"/>
    <w:rsid w:val="009141EC"/>
    <w:rsid w:val="00916A59"/>
    <w:rsid w:val="00917964"/>
    <w:rsid w:val="0092306D"/>
    <w:rsid w:val="00923DBC"/>
    <w:rsid w:val="00924357"/>
    <w:rsid w:val="0092725C"/>
    <w:rsid w:val="00927EA9"/>
    <w:rsid w:val="00930CE7"/>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2065"/>
    <w:rsid w:val="0097505A"/>
    <w:rsid w:val="009751B4"/>
    <w:rsid w:val="0097639B"/>
    <w:rsid w:val="009779FA"/>
    <w:rsid w:val="00981A09"/>
    <w:rsid w:val="00984DC8"/>
    <w:rsid w:val="0098556B"/>
    <w:rsid w:val="00986A9E"/>
    <w:rsid w:val="00990006"/>
    <w:rsid w:val="009906D1"/>
    <w:rsid w:val="009910DB"/>
    <w:rsid w:val="00991FDF"/>
    <w:rsid w:val="009925DF"/>
    <w:rsid w:val="00992B49"/>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D86"/>
    <w:rsid w:val="009C2A7C"/>
    <w:rsid w:val="009C3724"/>
    <w:rsid w:val="009C45D1"/>
    <w:rsid w:val="009C73A1"/>
    <w:rsid w:val="009D01D8"/>
    <w:rsid w:val="009D0B41"/>
    <w:rsid w:val="009D0F9C"/>
    <w:rsid w:val="009D123B"/>
    <w:rsid w:val="009D4CFB"/>
    <w:rsid w:val="009D5D8C"/>
    <w:rsid w:val="009D6F55"/>
    <w:rsid w:val="009D7D57"/>
    <w:rsid w:val="009E0FEE"/>
    <w:rsid w:val="009E22DE"/>
    <w:rsid w:val="009E7C13"/>
    <w:rsid w:val="009F001A"/>
    <w:rsid w:val="009F1AF9"/>
    <w:rsid w:val="009F220A"/>
    <w:rsid w:val="009F62C1"/>
    <w:rsid w:val="009F7FD0"/>
    <w:rsid w:val="00A00B42"/>
    <w:rsid w:val="00A00FAE"/>
    <w:rsid w:val="00A027F6"/>
    <w:rsid w:val="00A02FDE"/>
    <w:rsid w:val="00A04251"/>
    <w:rsid w:val="00A04A6C"/>
    <w:rsid w:val="00A0697F"/>
    <w:rsid w:val="00A0762B"/>
    <w:rsid w:val="00A079AF"/>
    <w:rsid w:val="00A15D2E"/>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6071B"/>
    <w:rsid w:val="00A60F63"/>
    <w:rsid w:val="00A636A6"/>
    <w:rsid w:val="00A64B0D"/>
    <w:rsid w:val="00A665E7"/>
    <w:rsid w:val="00A66C62"/>
    <w:rsid w:val="00A67C1F"/>
    <w:rsid w:val="00A73D56"/>
    <w:rsid w:val="00A741BF"/>
    <w:rsid w:val="00A75AFF"/>
    <w:rsid w:val="00A75D43"/>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308D"/>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44FC"/>
    <w:rsid w:val="00AE4B66"/>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BA5"/>
    <w:rsid w:val="00B03AED"/>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5375"/>
    <w:rsid w:val="00B25A1B"/>
    <w:rsid w:val="00B27301"/>
    <w:rsid w:val="00B30D14"/>
    <w:rsid w:val="00B30DFC"/>
    <w:rsid w:val="00B32C34"/>
    <w:rsid w:val="00B35114"/>
    <w:rsid w:val="00B35DBD"/>
    <w:rsid w:val="00B37C44"/>
    <w:rsid w:val="00B4102E"/>
    <w:rsid w:val="00B41142"/>
    <w:rsid w:val="00B422AB"/>
    <w:rsid w:val="00B4277F"/>
    <w:rsid w:val="00B43264"/>
    <w:rsid w:val="00B45EC1"/>
    <w:rsid w:val="00B5084B"/>
    <w:rsid w:val="00B52897"/>
    <w:rsid w:val="00B5410C"/>
    <w:rsid w:val="00B5482E"/>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E25"/>
    <w:rsid w:val="00B776F2"/>
    <w:rsid w:val="00B81C31"/>
    <w:rsid w:val="00B82610"/>
    <w:rsid w:val="00B83C0B"/>
    <w:rsid w:val="00B83D1C"/>
    <w:rsid w:val="00B83DFB"/>
    <w:rsid w:val="00B87258"/>
    <w:rsid w:val="00B90B86"/>
    <w:rsid w:val="00B90ECB"/>
    <w:rsid w:val="00B911B3"/>
    <w:rsid w:val="00B9330D"/>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7255"/>
    <w:rsid w:val="00BC1161"/>
    <w:rsid w:val="00BC21FB"/>
    <w:rsid w:val="00BC3E6A"/>
    <w:rsid w:val="00BC6555"/>
    <w:rsid w:val="00BC69CA"/>
    <w:rsid w:val="00BC73E5"/>
    <w:rsid w:val="00BD2F6E"/>
    <w:rsid w:val="00BD387D"/>
    <w:rsid w:val="00BD3A17"/>
    <w:rsid w:val="00BD50FC"/>
    <w:rsid w:val="00BD512A"/>
    <w:rsid w:val="00BD620D"/>
    <w:rsid w:val="00BD635C"/>
    <w:rsid w:val="00BD701C"/>
    <w:rsid w:val="00BD76EB"/>
    <w:rsid w:val="00BE0342"/>
    <w:rsid w:val="00BE15E9"/>
    <w:rsid w:val="00BE1712"/>
    <w:rsid w:val="00BE1A77"/>
    <w:rsid w:val="00BE257A"/>
    <w:rsid w:val="00BE3DB5"/>
    <w:rsid w:val="00BE5E46"/>
    <w:rsid w:val="00BE6BD9"/>
    <w:rsid w:val="00BE70FA"/>
    <w:rsid w:val="00BE7C61"/>
    <w:rsid w:val="00BF28CE"/>
    <w:rsid w:val="00BF5006"/>
    <w:rsid w:val="00BF5C20"/>
    <w:rsid w:val="00BF66F4"/>
    <w:rsid w:val="00BF7AED"/>
    <w:rsid w:val="00C00748"/>
    <w:rsid w:val="00C014A3"/>
    <w:rsid w:val="00C0184E"/>
    <w:rsid w:val="00C02421"/>
    <w:rsid w:val="00C02538"/>
    <w:rsid w:val="00C04489"/>
    <w:rsid w:val="00C07B96"/>
    <w:rsid w:val="00C12A71"/>
    <w:rsid w:val="00C15D90"/>
    <w:rsid w:val="00C1781D"/>
    <w:rsid w:val="00C17FD4"/>
    <w:rsid w:val="00C2005B"/>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756A"/>
    <w:rsid w:val="00C37E2F"/>
    <w:rsid w:val="00C407EF"/>
    <w:rsid w:val="00C43239"/>
    <w:rsid w:val="00C507BA"/>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5E0"/>
    <w:rsid w:val="00C7405E"/>
    <w:rsid w:val="00C76EFA"/>
    <w:rsid w:val="00C8023C"/>
    <w:rsid w:val="00C80656"/>
    <w:rsid w:val="00C80D99"/>
    <w:rsid w:val="00C8169C"/>
    <w:rsid w:val="00C8255E"/>
    <w:rsid w:val="00C82F97"/>
    <w:rsid w:val="00C85349"/>
    <w:rsid w:val="00C856C1"/>
    <w:rsid w:val="00C85B65"/>
    <w:rsid w:val="00C86F3C"/>
    <w:rsid w:val="00C87891"/>
    <w:rsid w:val="00C87D28"/>
    <w:rsid w:val="00C91DC4"/>
    <w:rsid w:val="00C92A3F"/>
    <w:rsid w:val="00C93152"/>
    <w:rsid w:val="00C94164"/>
    <w:rsid w:val="00C955D5"/>
    <w:rsid w:val="00C97C00"/>
    <w:rsid w:val="00CA00A4"/>
    <w:rsid w:val="00CA08EA"/>
    <w:rsid w:val="00CA0BD9"/>
    <w:rsid w:val="00CA151C"/>
    <w:rsid w:val="00CA23A7"/>
    <w:rsid w:val="00CA31E9"/>
    <w:rsid w:val="00CA3A8D"/>
    <w:rsid w:val="00CA5444"/>
    <w:rsid w:val="00CB45A3"/>
    <w:rsid w:val="00CB4854"/>
    <w:rsid w:val="00CB5FE1"/>
    <w:rsid w:val="00CB6C73"/>
    <w:rsid w:val="00CB7366"/>
    <w:rsid w:val="00CB76D5"/>
    <w:rsid w:val="00CC24D5"/>
    <w:rsid w:val="00CC3773"/>
    <w:rsid w:val="00CC585B"/>
    <w:rsid w:val="00CD06AD"/>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EFD"/>
    <w:rsid w:val="00D66809"/>
    <w:rsid w:val="00D67CDE"/>
    <w:rsid w:val="00D67E50"/>
    <w:rsid w:val="00D709E7"/>
    <w:rsid w:val="00D710B4"/>
    <w:rsid w:val="00D71148"/>
    <w:rsid w:val="00D720FC"/>
    <w:rsid w:val="00D724BF"/>
    <w:rsid w:val="00D73C88"/>
    <w:rsid w:val="00D756C6"/>
    <w:rsid w:val="00D76B85"/>
    <w:rsid w:val="00D77DF4"/>
    <w:rsid w:val="00D80633"/>
    <w:rsid w:val="00D8157E"/>
    <w:rsid w:val="00D82307"/>
    <w:rsid w:val="00D86D7E"/>
    <w:rsid w:val="00D86F6B"/>
    <w:rsid w:val="00D86FC3"/>
    <w:rsid w:val="00D87804"/>
    <w:rsid w:val="00D905CA"/>
    <w:rsid w:val="00D90986"/>
    <w:rsid w:val="00D913FF"/>
    <w:rsid w:val="00D91B2B"/>
    <w:rsid w:val="00D91B67"/>
    <w:rsid w:val="00D94E4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95E"/>
    <w:rsid w:val="00DC3AA6"/>
    <w:rsid w:val="00DC3B23"/>
    <w:rsid w:val="00DC3BB3"/>
    <w:rsid w:val="00DC45FE"/>
    <w:rsid w:val="00DC6E5A"/>
    <w:rsid w:val="00DD26C3"/>
    <w:rsid w:val="00DD404E"/>
    <w:rsid w:val="00DD54D7"/>
    <w:rsid w:val="00DD5A19"/>
    <w:rsid w:val="00DD5E67"/>
    <w:rsid w:val="00DE081B"/>
    <w:rsid w:val="00DE3A09"/>
    <w:rsid w:val="00DE3ABB"/>
    <w:rsid w:val="00DE63AD"/>
    <w:rsid w:val="00DE7014"/>
    <w:rsid w:val="00DE7494"/>
    <w:rsid w:val="00DF4937"/>
    <w:rsid w:val="00DF64AA"/>
    <w:rsid w:val="00E01395"/>
    <w:rsid w:val="00E0208C"/>
    <w:rsid w:val="00E02686"/>
    <w:rsid w:val="00E02D05"/>
    <w:rsid w:val="00E02F3C"/>
    <w:rsid w:val="00E044F2"/>
    <w:rsid w:val="00E07347"/>
    <w:rsid w:val="00E11B6D"/>
    <w:rsid w:val="00E1265D"/>
    <w:rsid w:val="00E127D4"/>
    <w:rsid w:val="00E16413"/>
    <w:rsid w:val="00E16C54"/>
    <w:rsid w:val="00E2226C"/>
    <w:rsid w:val="00E22DFF"/>
    <w:rsid w:val="00E249A2"/>
    <w:rsid w:val="00E26285"/>
    <w:rsid w:val="00E27B4C"/>
    <w:rsid w:val="00E34AD5"/>
    <w:rsid w:val="00E34CDA"/>
    <w:rsid w:val="00E357EC"/>
    <w:rsid w:val="00E37347"/>
    <w:rsid w:val="00E376A8"/>
    <w:rsid w:val="00E37CD3"/>
    <w:rsid w:val="00E43B0C"/>
    <w:rsid w:val="00E44FD6"/>
    <w:rsid w:val="00E47D77"/>
    <w:rsid w:val="00E5023D"/>
    <w:rsid w:val="00E5074A"/>
    <w:rsid w:val="00E508A8"/>
    <w:rsid w:val="00E51CC2"/>
    <w:rsid w:val="00E52F35"/>
    <w:rsid w:val="00E53824"/>
    <w:rsid w:val="00E54477"/>
    <w:rsid w:val="00E54DDA"/>
    <w:rsid w:val="00E57846"/>
    <w:rsid w:val="00E60B59"/>
    <w:rsid w:val="00E61162"/>
    <w:rsid w:val="00E61B99"/>
    <w:rsid w:val="00E6336C"/>
    <w:rsid w:val="00E6550D"/>
    <w:rsid w:val="00E65B93"/>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66B7"/>
    <w:rsid w:val="00E86AEC"/>
    <w:rsid w:val="00E9024F"/>
    <w:rsid w:val="00E909B4"/>
    <w:rsid w:val="00E91CB0"/>
    <w:rsid w:val="00E95DBA"/>
    <w:rsid w:val="00E972B0"/>
    <w:rsid w:val="00E977CA"/>
    <w:rsid w:val="00E97A46"/>
    <w:rsid w:val="00EA035B"/>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71A6"/>
    <w:rsid w:val="00EE7B57"/>
    <w:rsid w:val="00EE7F56"/>
    <w:rsid w:val="00EE7FC9"/>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B6C"/>
    <w:rsid w:val="00F17658"/>
    <w:rsid w:val="00F20AEE"/>
    <w:rsid w:val="00F20FBF"/>
    <w:rsid w:val="00F21A60"/>
    <w:rsid w:val="00F26242"/>
    <w:rsid w:val="00F26BC3"/>
    <w:rsid w:val="00F272A7"/>
    <w:rsid w:val="00F27321"/>
    <w:rsid w:val="00F273AB"/>
    <w:rsid w:val="00F30216"/>
    <w:rsid w:val="00F400DC"/>
    <w:rsid w:val="00F40918"/>
    <w:rsid w:val="00F40F4B"/>
    <w:rsid w:val="00F4699E"/>
    <w:rsid w:val="00F4733B"/>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829"/>
    <w:rsid w:val="00F74739"/>
    <w:rsid w:val="00F7511F"/>
    <w:rsid w:val="00F7571C"/>
    <w:rsid w:val="00F758DE"/>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30B8"/>
    <w:rsid w:val="00F939F4"/>
    <w:rsid w:val="00F944A1"/>
    <w:rsid w:val="00F950A8"/>
    <w:rsid w:val="00F9531A"/>
    <w:rsid w:val="00F95A16"/>
    <w:rsid w:val="00FA1532"/>
    <w:rsid w:val="00FA2131"/>
    <w:rsid w:val="00FA3093"/>
    <w:rsid w:val="00FA3742"/>
    <w:rsid w:val="00FA40A9"/>
    <w:rsid w:val="00FA4C2A"/>
    <w:rsid w:val="00FA4DDF"/>
    <w:rsid w:val="00FA5CAD"/>
    <w:rsid w:val="00FA6116"/>
    <w:rsid w:val="00FA6CB0"/>
    <w:rsid w:val="00FA6DF2"/>
    <w:rsid w:val="00FB2728"/>
    <w:rsid w:val="00FB5FC1"/>
    <w:rsid w:val="00FB69C9"/>
    <w:rsid w:val="00FC04E2"/>
    <w:rsid w:val="00FC088B"/>
    <w:rsid w:val="00FC2714"/>
    <w:rsid w:val="00FC4484"/>
    <w:rsid w:val="00FC4B29"/>
    <w:rsid w:val="00FC5BDA"/>
    <w:rsid w:val="00FC6539"/>
    <w:rsid w:val="00FD100B"/>
    <w:rsid w:val="00FD367A"/>
    <w:rsid w:val="00FD4AE3"/>
    <w:rsid w:val="00FD5E11"/>
    <w:rsid w:val="00FE01E5"/>
    <w:rsid w:val="00FE17F5"/>
    <w:rsid w:val="00FE1EB2"/>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62145"/>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D63A3-7D43-48C4-9F7D-C3571638D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469</Words>
  <Characters>2583</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3</cp:revision>
  <cp:lastPrinted>2019-01-14T09:08:00Z</cp:lastPrinted>
  <dcterms:created xsi:type="dcterms:W3CDTF">2019-01-21T08:01:00Z</dcterms:created>
  <dcterms:modified xsi:type="dcterms:W3CDTF">2019-01-21T11:10:00Z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