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BA7B91">
        <w:rPr>
          <w:rFonts w:ascii="Calibri Light" w:hAnsi="Calibri Light" w:cs="Arial"/>
          <w:b/>
          <w:sz w:val="44"/>
          <w:szCs w:val="44"/>
        </w:rPr>
        <w:t>25 février</w:t>
      </w:r>
      <w:r w:rsidR="00CF690F">
        <w:rPr>
          <w:rFonts w:ascii="Calibri Light" w:hAnsi="Calibri Light" w:cs="Arial"/>
          <w:b/>
          <w:sz w:val="44"/>
          <w:szCs w:val="44"/>
        </w:rPr>
        <w:t xml:space="preserve">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bookmarkStart w:id="1" w:name="_Hlk536196285"/>
      <w:r w:rsidRPr="0059618B">
        <w:rPr>
          <w:rFonts w:ascii="Arial" w:hAnsi="Arial" w:cs="Arial"/>
          <w:b/>
          <w:sz w:val="28"/>
          <w:szCs w:val="28"/>
          <w:u w:val="single"/>
        </w:rPr>
        <w:t>Monthly</w:t>
      </w:r>
    </w:p>
    <w:p w:rsidR="00F72829" w:rsidRPr="00613E70" w:rsidRDefault="006A72BB" w:rsidP="00B65AF1">
      <w:pPr>
        <w:autoSpaceDE w:val="0"/>
        <w:ind w:left="-283"/>
        <w:jc w:val="both"/>
        <w:rPr>
          <w:rFonts w:ascii="Arial" w:hAnsi="Arial" w:cs="Arial"/>
          <w:b/>
          <w:sz w:val="28"/>
          <w:szCs w:val="28"/>
          <w:u w:val="single"/>
        </w:rPr>
      </w:pPr>
      <w:r w:rsidRPr="006A72BB">
        <w:rPr>
          <w:rFonts w:ascii="Arial" w:hAnsi="Arial" w:cs="Arial"/>
          <w:b/>
          <w:noProof/>
          <w:sz w:val="28"/>
          <w:szCs w:val="28"/>
          <w:u w:val="single"/>
        </w:rPr>
        <w:drawing>
          <wp:inline distT="0" distB="0" distL="0" distR="0">
            <wp:extent cx="6645275" cy="4095750"/>
            <wp:effectExtent l="0" t="0" r="3175" b="0"/>
            <wp:docPr id="1" name="Image 1" descr="C:\Users\EPBFIA~1\AppData\Local\Temp\Bloomberg\temp\bfm891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891C.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791" cy="4096684"/>
                    </a:xfrm>
                    <a:prstGeom prst="rect">
                      <a:avLst/>
                    </a:prstGeom>
                    <a:noFill/>
                    <a:ln>
                      <a:noFill/>
                    </a:ln>
                  </pic:spPr>
                </pic:pic>
              </a:graphicData>
            </a:graphic>
          </wp:inline>
        </w:drawing>
      </w:r>
    </w:p>
    <w:p w:rsidR="00F72829" w:rsidRPr="00411088" w:rsidRDefault="00F72829" w:rsidP="00F72829">
      <w:pPr>
        <w:autoSpaceDE w:val="0"/>
        <w:jc w:val="both"/>
        <w:rPr>
          <w:rFonts w:ascii="Arial" w:hAnsi="Arial" w:cs="Arial"/>
          <w:b/>
          <w:sz w:val="28"/>
          <w:szCs w:val="28"/>
          <w:u w:val="single"/>
        </w:rPr>
      </w:pPr>
      <w:r w:rsidRPr="00411088">
        <w:rPr>
          <w:rFonts w:ascii="Arial" w:hAnsi="Arial" w:cs="Arial"/>
          <w:b/>
          <w:sz w:val="28"/>
          <w:szCs w:val="28"/>
          <w:u w:val="single"/>
        </w:rPr>
        <w:t>Weekly</w:t>
      </w:r>
    </w:p>
    <w:p w:rsidR="00A85203" w:rsidRPr="00411088" w:rsidRDefault="006A72BB" w:rsidP="00761A6E">
      <w:pPr>
        <w:autoSpaceDE w:val="0"/>
        <w:ind w:left="-283"/>
        <w:jc w:val="both"/>
        <w:rPr>
          <w:rFonts w:ascii="Arial" w:hAnsi="Arial" w:cs="Arial"/>
          <w:b/>
          <w:sz w:val="28"/>
          <w:szCs w:val="28"/>
          <w:u w:val="single"/>
        </w:rPr>
      </w:pPr>
      <w:r w:rsidRPr="006A72BB">
        <w:rPr>
          <w:rFonts w:ascii="Arial" w:hAnsi="Arial" w:cs="Arial"/>
          <w:b/>
          <w:noProof/>
          <w:sz w:val="28"/>
          <w:szCs w:val="28"/>
          <w:u w:val="single"/>
        </w:rPr>
        <w:drawing>
          <wp:inline distT="0" distB="0" distL="0" distR="0">
            <wp:extent cx="6645330" cy="4381500"/>
            <wp:effectExtent l="0" t="0" r="3175" b="0"/>
            <wp:docPr id="2" name="Image 2" descr="C:\Users\EPBFIA~1\AppData\Local\Temp\Bloomberg\temp\bfmFA3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FA36.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05" cy="4382209"/>
                    </a:xfrm>
                    <a:prstGeom prst="rect">
                      <a:avLst/>
                    </a:prstGeom>
                    <a:noFill/>
                    <a:ln>
                      <a:noFill/>
                    </a:ln>
                  </pic:spPr>
                </pic:pic>
              </a:graphicData>
            </a:graphic>
          </wp:inline>
        </w:drawing>
      </w:r>
    </w:p>
    <w:p w:rsidR="0021751A" w:rsidRPr="00411088" w:rsidRDefault="0021751A" w:rsidP="00761A6E">
      <w:pPr>
        <w:autoSpaceDE w:val="0"/>
        <w:ind w:left="-283"/>
        <w:jc w:val="both"/>
        <w:rPr>
          <w:rFonts w:ascii="Arial" w:hAnsi="Arial" w:cs="Arial"/>
          <w:b/>
          <w:sz w:val="28"/>
          <w:szCs w:val="28"/>
          <w:u w:val="single"/>
        </w:rPr>
      </w:pPr>
    </w:p>
    <w:p w:rsidR="00286600" w:rsidRPr="00411088" w:rsidRDefault="005E3841" w:rsidP="00B25A1B">
      <w:pPr>
        <w:autoSpaceDE w:val="0"/>
        <w:ind w:left="-851"/>
        <w:jc w:val="both"/>
        <w:rPr>
          <w:rFonts w:ascii="Arial" w:hAnsi="Arial" w:cs="Arial"/>
          <w:b/>
          <w:sz w:val="28"/>
          <w:szCs w:val="28"/>
          <w:u w:val="single"/>
        </w:rPr>
      </w:pPr>
      <w:r w:rsidRPr="00411088">
        <w:rPr>
          <w:rFonts w:ascii="Arial" w:hAnsi="Arial" w:cs="Arial"/>
          <w:b/>
          <w:sz w:val="28"/>
          <w:szCs w:val="28"/>
        </w:rPr>
        <w:lastRenderedPageBreak/>
        <w:t xml:space="preserve">           </w:t>
      </w:r>
      <w:r w:rsidR="000D4E0C" w:rsidRPr="00411088">
        <w:rPr>
          <w:rFonts w:ascii="Arial" w:hAnsi="Arial" w:cs="Arial"/>
          <w:b/>
          <w:sz w:val="28"/>
          <w:szCs w:val="28"/>
          <w:u w:val="single"/>
        </w:rPr>
        <w:t>Daily</w:t>
      </w:r>
    </w:p>
    <w:bookmarkEnd w:id="1"/>
    <w:p w:rsidR="008F46BD" w:rsidRPr="00411088" w:rsidRDefault="006A72BB" w:rsidP="003505F9">
      <w:pPr>
        <w:autoSpaceDE w:val="0"/>
        <w:jc w:val="both"/>
        <w:rPr>
          <w:rFonts w:ascii="Arial" w:hAnsi="Arial" w:cs="Arial"/>
          <w:b/>
          <w:sz w:val="28"/>
          <w:szCs w:val="28"/>
          <w:u w:val="single"/>
        </w:rPr>
      </w:pPr>
      <w:r w:rsidRPr="006A72BB">
        <w:rPr>
          <w:rFonts w:ascii="Arial" w:hAnsi="Arial" w:cs="Arial"/>
          <w:b/>
          <w:noProof/>
          <w:sz w:val="28"/>
          <w:szCs w:val="28"/>
          <w:u w:val="single"/>
        </w:rPr>
        <w:drawing>
          <wp:inline distT="0" distB="0" distL="0" distR="0">
            <wp:extent cx="6645330" cy="4267200"/>
            <wp:effectExtent l="0" t="0" r="3175" b="0"/>
            <wp:docPr id="3" name="Image 3" descr="C:\Users\EPBFIA~1\AppData\Local\Temp\Bloomberg\temp\bfm925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9251.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350" cy="4267855"/>
                    </a:xfrm>
                    <a:prstGeom prst="rect">
                      <a:avLst/>
                    </a:prstGeom>
                    <a:noFill/>
                    <a:ln>
                      <a:noFill/>
                    </a:ln>
                  </pic:spPr>
                </pic:pic>
              </a:graphicData>
            </a:graphic>
          </wp:inline>
        </w:drawing>
      </w:r>
    </w:p>
    <w:p w:rsidR="00A321F0" w:rsidRDefault="00A321F0" w:rsidP="00A321F0">
      <w:pPr>
        <w:jc w:val="both"/>
        <w:rPr>
          <w:rFonts w:ascii="Tahoma" w:hAnsi="Tahoma" w:cs="Tahoma"/>
        </w:rPr>
      </w:pPr>
    </w:p>
    <w:p w:rsidR="00E50001" w:rsidRPr="00E50001" w:rsidRDefault="00133ACB" w:rsidP="00E50001">
      <w:pPr>
        <w:jc w:val="both"/>
        <w:rPr>
          <w:rFonts w:ascii="Arial" w:hAnsi="Arial" w:cs="Arial"/>
        </w:rPr>
      </w:pPr>
      <w:r w:rsidRPr="00720523">
        <w:rPr>
          <w:rFonts w:ascii="Arial" w:hAnsi="Arial" w:cs="Arial"/>
          <w:b/>
          <w:u w:val="single"/>
        </w:rPr>
        <w:t>Co</w:t>
      </w:r>
      <w:r>
        <w:rPr>
          <w:rFonts w:ascii="Arial" w:hAnsi="Arial" w:cs="Arial"/>
          <w:b/>
          <w:u w:val="single"/>
        </w:rPr>
        <w:t>mité</w:t>
      </w:r>
      <w:r w:rsidR="0077671C">
        <w:rPr>
          <w:rFonts w:ascii="Arial" w:hAnsi="Arial" w:cs="Arial"/>
          <w:b/>
          <w:u w:val="single"/>
        </w:rPr>
        <w:t xml:space="preserve"> d’analyse technique du </w:t>
      </w:r>
      <w:r w:rsidR="00BA7B91">
        <w:rPr>
          <w:rFonts w:ascii="Arial" w:hAnsi="Arial" w:cs="Arial"/>
          <w:b/>
          <w:u w:val="single"/>
        </w:rPr>
        <w:t>19-02</w:t>
      </w:r>
      <w:r w:rsidR="0077671C">
        <w:rPr>
          <w:rFonts w:ascii="Arial" w:hAnsi="Arial" w:cs="Arial"/>
          <w:b/>
          <w:u w:val="single"/>
        </w:rPr>
        <w:t>-19</w:t>
      </w:r>
      <w:r w:rsidR="0077671C" w:rsidRPr="00720523">
        <w:rPr>
          <w:rFonts w:ascii="Arial" w:hAnsi="Arial" w:cs="Arial"/>
          <w:b/>
        </w:rPr>
        <w:t> :</w:t>
      </w:r>
      <w:r w:rsidR="00B242A0">
        <w:rPr>
          <w:rFonts w:ascii="Arial" w:hAnsi="Arial" w:cs="Arial"/>
          <w:b/>
        </w:rPr>
        <w:t xml:space="preserve"> </w:t>
      </w:r>
      <w:r w:rsidR="00E50001" w:rsidRPr="00E50001">
        <w:rPr>
          <w:rFonts w:ascii="Arial" w:hAnsi="Arial" w:cs="Arial"/>
        </w:rPr>
        <w:t>La poursuite de la baisse au cours des prochaines semaines sera conditionnée par un maintien de la LS sous sa TS de long terme. Cette courbe servira de résistance en février sur 0.12 et en mars s</w:t>
      </w:r>
      <w:r w:rsidR="00581159">
        <w:rPr>
          <w:rFonts w:ascii="Arial" w:hAnsi="Arial" w:cs="Arial"/>
        </w:rPr>
        <w:t>ur</w:t>
      </w:r>
      <w:r w:rsidR="00E50001" w:rsidRPr="00E50001">
        <w:rPr>
          <w:rFonts w:ascii="Arial" w:hAnsi="Arial" w:cs="Arial"/>
        </w:rPr>
        <w:t xml:space="preserve"> 0.15.</w:t>
      </w:r>
    </w:p>
    <w:p w:rsidR="00E50001" w:rsidRPr="00E50001" w:rsidRDefault="00E50001" w:rsidP="00E50001">
      <w:pPr>
        <w:jc w:val="both"/>
        <w:rPr>
          <w:rFonts w:ascii="Arial" w:hAnsi="Arial" w:cs="Arial"/>
        </w:rPr>
      </w:pPr>
      <w:r w:rsidRPr="00E50001">
        <w:rPr>
          <w:rFonts w:ascii="Arial" w:hAnsi="Arial" w:cs="Arial"/>
        </w:rPr>
        <w:t>Sur le moyen terme, le marché n’a plus d’obstacles pour poursuivre son mouvement de baisse. L’écart entre taux et TS signale une situation de surtension qui pourra se résorber sur la période par un maintien du marché au-dessus de 0.08 ou par un retour sur 0.15. Au-dessus de 0.08, la TS se stabilisera sur 0.19 pour servir de résistance en cas de dépassement de 0.15.</w:t>
      </w:r>
    </w:p>
    <w:p w:rsidR="00B242A0" w:rsidRPr="00B242A0" w:rsidRDefault="00B242A0" w:rsidP="00BA7B91">
      <w:pPr>
        <w:jc w:val="both"/>
        <w:rPr>
          <w:rFonts w:ascii="Arial" w:hAnsi="Arial" w:cs="Arial"/>
        </w:rPr>
      </w:pPr>
    </w:p>
    <w:p w:rsidR="00167798" w:rsidRDefault="00167798" w:rsidP="00FD5E11">
      <w:pPr>
        <w:jc w:val="both"/>
        <w:rPr>
          <w:rFonts w:ascii="Tahoma" w:hAnsi="Tahoma" w:cs="Tahoma"/>
        </w:rPr>
      </w:pPr>
    </w:p>
    <w:p w:rsidR="0077671C" w:rsidRDefault="0077671C" w:rsidP="0077671C">
      <w:pPr>
        <w:jc w:val="both"/>
        <w:rPr>
          <w:rFonts w:ascii="Tahoma" w:hAnsi="Tahoma" w:cs="Tahoma"/>
        </w:rPr>
      </w:pPr>
      <w:r w:rsidRPr="00094FF5">
        <w:rPr>
          <w:rFonts w:ascii="Arial" w:hAnsi="Arial" w:cs="Arial"/>
          <w:b/>
          <w:u w:val="single"/>
        </w:rPr>
        <w:t>Sur le court terme (</w:t>
      </w:r>
      <w:r w:rsidR="00BA7B91" w:rsidRPr="00094FF5">
        <w:rPr>
          <w:rFonts w:ascii="Arial" w:hAnsi="Arial" w:cs="Arial"/>
          <w:b/>
          <w:u w:val="single"/>
        </w:rPr>
        <w:t>25-02</w:t>
      </w:r>
      <w:r w:rsidRPr="00094FF5">
        <w:rPr>
          <w:rFonts w:ascii="Arial" w:hAnsi="Arial" w:cs="Arial"/>
          <w:b/>
          <w:u w:val="single"/>
        </w:rPr>
        <w:t>-19)</w:t>
      </w:r>
      <w:r w:rsidRPr="0077671C">
        <w:rPr>
          <w:rFonts w:ascii="Tahoma" w:hAnsi="Tahoma" w:cs="Tahoma"/>
        </w:rPr>
        <w:t xml:space="preserve"> </w:t>
      </w:r>
      <w:r>
        <w:rPr>
          <w:rFonts w:ascii="Tahoma" w:hAnsi="Tahoma" w:cs="Tahoma"/>
        </w:rPr>
        <w:t>:</w:t>
      </w:r>
      <w:r w:rsidR="00E55575">
        <w:rPr>
          <w:rFonts w:ascii="Tahoma" w:hAnsi="Tahoma" w:cs="Tahoma"/>
        </w:rPr>
        <w:t xml:space="preserve"> </w:t>
      </w:r>
      <w:r w:rsidR="00893B21">
        <w:rPr>
          <w:rFonts w:ascii="Tahoma" w:hAnsi="Tahoma" w:cs="Tahoma"/>
        </w:rPr>
        <w:t>Consolidation du marché sur le court terme qui s’apparente à une dérive latérale avec comme résistance 0.15 et comme support le point bas de 0.07</w:t>
      </w:r>
      <w:r w:rsidR="00FF14B3">
        <w:rPr>
          <w:rFonts w:ascii="Tahoma" w:hAnsi="Tahoma" w:cs="Tahoma"/>
        </w:rPr>
        <w:t>8 (soit 0.08).</w:t>
      </w:r>
    </w:p>
    <w:p w:rsidR="00FF14B3" w:rsidRDefault="00581159" w:rsidP="0077671C">
      <w:pPr>
        <w:jc w:val="both"/>
        <w:rPr>
          <w:rFonts w:ascii="Tahoma" w:hAnsi="Tahoma" w:cs="Tahoma"/>
        </w:rPr>
      </w:pPr>
      <w:r>
        <w:rPr>
          <w:rFonts w:ascii="Tahoma" w:hAnsi="Tahoma" w:cs="Tahoma"/>
        </w:rPr>
        <w:t>Entre ces deux bornes, l</w:t>
      </w:r>
      <w:r w:rsidR="00FF14B3">
        <w:rPr>
          <w:rFonts w:ascii="Tahoma" w:hAnsi="Tahoma" w:cs="Tahoma"/>
        </w:rPr>
        <w:t>a TS restera plat</w:t>
      </w:r>
      <w:r w:rsidR="00DD2660">
        <w:rPr>
          <w:rFonts w:ascii="Tahoma" w:hAnsi="Tahoma" w:cs="Tahoma"/>
        </w:rPr>
        <w:t>e</w:t>
      </w:r>
      <w:r w:rsidR="00FF14B3">
        <w:rPr>
          <w:rFonts w:ascii="Tahoma" w:hAnsi="Tahoma" w:cs="Tahoma"/>
        </w:rPr>
        <w:t xml:space="preserve"> sur 0.12. la position du 10 ans par rapport à la TS permettra d’envisager un test du support ou de la résistance.</w:t>
      </w:r>
    </w:p>
    <w:p w:rsidR="0077671C" w:rsidRDefault="0077671C" w:rsidP="00FD5E11">
      <w:pPr>
        <w:jc w:val="both"/>
        <w:rPr>
          <w:rFonts w:ascii="Tahoma" w:hAnsi="Tahoma" w:cs="Tahoma"/>
        </w:rPr>
      </w:pPr>
    </w:p>
    <w:p w:rsidR="0077671C" w:rsidRPr="00FA5CAD" w:rsidRDefault="0077671C" w:rsidP="00FD5E11">
      <w:pPr>
        <w:jc w:val="both"/>
        <w:rPr>
          <w:rFonts w:ascii="Tahoma" w:hAnsi="Tahoma" w:cs="Tahoma"/>
        </w:rPr>
      </w:pPr>
    </w:p>
    <w:p w:rsidR="00AD5C65" w:rsidRPr="006C7D86" w:rsidRDefault="00F72829" w:rsidP="0079738C">
      <w:pPr>
        <w:jc w:val="both"/>
        <w:rPr>
          <w:rFonts w:ascii="Arial" w:hAnsi="Arial" w:cs="Arial"/>
          <w:b/>
          <w:color w:val="00B050"/>
        </w:rPr>
      </w:pPr>
      <w:r w:rsidRPr="006C7D86">
        <w:rPr>
          <w:rFonts w:ascii="Arial" w:hAnsi="Arial" w:cs="Arial"/>
          <w:b/>
          <w:color w:val="00B050"/>
          <w:u w:val="single"/>
        </w:rPr>
        <w:t>HEBDOMADAIRE</w:t>
      </w:r>
      <w:r w:rsidR="00C21594" w:rsidRPr="006C7D86">
        <w:rPr>
          <w:rFonts w:ascii="Arial" w:hAnsi="Arial" w:cs="Arial"/>
          <w:b/>
          <w:color w:val="00B050"/>
        </w:rPr>
        <w:t xml:space="preserve"> : </w:t>
      </w:r>
      <w:r w:rsidR="006C7D86" w:rsidRPr="006C7D86">
        <w:rPr>
          <w:rFonts w:ascii="Arial" w:hAnsi="Arial" w:cs="Arial"/>
          <w:b/>
          <w:color w:val="00B050"/>
        </w:rPr>
        <w:t>C</w:t>
      </w:r>
      <w:r w:rsidR="0079738C" w:rsidRPr="006C7D86">
        <w:rPr>
          <w:rFonts w:ascii="Arial" w:hAnsi="Arial" w:cs="Arial"/>
          <w:b/>
          <w:color w:val="00B050"/>
        </w:rPr>
        <w:t>onsolidation du 10 ans entre 0.15 et 0.08 avec un point pivot sur 0.12.</w:t>
      </w:r>
    </w:p>
    <w:p w:rsidR="001C758E" w:rsidRPr="00A321F0" w:rsidRDefault="001C758E" w:rsidP="00F72829">
      <w:pPr>
        <w:jc w:val="both"/>
        <w:rPr>
          <w:rFonts w:ascii="Tahoma" w:hAnsi="Tahoma" w:cs="Tahoma"/>
          <w:color w:val="FF0000"/>
        </w:rPr>
      </w:pPr>
    </w:p>
    <w:p w:rsidR="0051588E" w:rsidRDefault="0051588E"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581159" w:rsidRDefault="00581159" w:rsidP="00F72829">
      <w:pPr>
        <w:jc w:val="both"/>
        <w:rPr>
          <w:rFonts w:ascii="Tahoma" w:hAnsi="Tahoma" w:cs="Tahoma"/>
          <w:color w:val="FF0000"/>
        </w:rPr>
      </w:pPr>
    </w:p>
    <w:p w:rsidR="00E00BBF" w:rsidRPr="006A72BB" w:rsidRDefault="00B242A0" w:rsidP="00F72829">
      <w:pPr>
        <w:jc w:val="both"/>
        <w:rPr>
          <w:rFonts w:ascii="Tahoma" w:hAnsi="Tahoma" w:cs="Tahoma"/>
        </w:rPr>
      </w:pPr>
      <w:r w:rsidRPr="00411088">
        <w:rPr>
          <w:rFonts w:ascii="Arial" w:hAnsi="Arial" w:cs="Arial"/>
          <w:sz w:val="32"/>
          <w:szCs w:val="32"/>
        </w:rPr>
        <w:t xml:space="preserve">                                </w:t>
      </w:r>
    </w:p>
    <w:p w:rsidR="00E00BBF" w:rsidRPr="00411088" w:rsidRDefault="00E00BBF" w:rsidP="00F72829">
      <w:pPr>
        <w:jc w:val="both"/>
        <w:rPr>
          <w:rFonts w:ascii="Tahoma" w:hAnsi="Tahoma" w:cs="Tahoma"/>
          <w:color w:val="00B050"/>
        </w:rPr>
      </w:pPr>
    </w:p>
    <w:p w:rsidR="00F72829" w:rsidRPr="00411088" w:rsidRDefault="004E02D3" w:rsidP="008F40E5">
      <w:pPr>
        <w:jc w:val="both"/>
        <w:rPr>
          <w:rFonts w:ascii="Arial" w:hAnsi="Arial" w:cs="Arial"/>
          <w:b/>
          <w:bCs/>
          <w:sz w:val="36"/>
          <w:szCs w:val="36"/>
          <w:u w:val="single"/>
        </w:rPr>
      </w:pPr>
      <w:r w:rsidRPr="00411088">
        <w:rPr>
          <w:rFonts w:ascii="Arial" w:hAnsi="Arial" w:cs="Arial"/>
          <w:b/>
          <w:bCs/>
          <w:sz w:val="28"/>
          <w:szCs w:val="28"/>
        </w:rPr>
        <w:lastRenderedPageBreak/>
        <w:t xml:space="preserve"> </w:t>
      </w:r>
      <w:r w:rsidR="00F72829" w:rsidRPr="00411088">
        <w:rPr>
          <w:rFonts w:ascii="Arial" w:hAnsi="Arial" w:cs="Arial"/>
          <w:b/>
          <w:bCs/>
          <w:sz w:val="28"/>
          <w:szCs w:val="28"/>
        </w:rPr>
        <w:t xml:space="preserve">                                     </w:t>
      </w:r>
      <w:r w:rsidR="0076534A" w:rsidRPr="00411088">
        <w:rPr>
          <w:rFonts w:ascii="Arial" w:hAnsi="Arial" w:cs="Arial"/>
          <w:b/>
          <w:bCs/>
          <w:sz w:val="28"/>
          <w:szCs w:val="28"/>
        </w:rPr>
        <w:t xml:space="preserve">            </w:t>
      </w:r>
      <w:r w:rsidR="00F72829" w:rsidRPr="00411088">
        <w:rPr>
          <w:rFonts w:ascii="Arial" w:hAnsi="Arial" w:cs="Arial"/>
          <w:b/>
          <w:bCs/>
          <w:sz w:val="36"/>
          <w:szCs w:val="36"/>
          <w:u w:val="single"/>
        </w:rPr>
        <w:t xml:space="preserve">10 ans USA </w:t>
      </w:r>
    </w:p>
    <w:p w:rsidR="00F72829" w:rsidRPr="00411088" w:rsidRDefault="00F72829" w:rsidP="00BE257A">
      <w:pPr>
        <w:jc w:val="both"/>
        <w:rPr>
          <w:rFonts w:ascii="Arial" w:hAnsi="Arial" w:cs="Arial"/>
          <w:b/>
          <w:sz w:val="28"/>
          <w:szCs w:val="28"/>
          <w:u w:val="single"/>
        </w:rPr>
      </w:pPr>
      <w:r w:rsidRPr="00411088">
        <w:rPr>
          <w:rFonts w:ascii="Arial" w:hAnsi="Arial" w:cs="Arial"/>
          <w:b/>
          <w:sz w:val="28"/>
          <w:szCs w:val="28"/>
          <w:u w:val="single"/>
        </w:rPr>
        <w:t>Monthly</w:t>
      </w:r>
    </w:p>
    <w:p w:rsidR="00B03AED" w:rsidRPr="00411088" w:rsidRDefault="006A72BB" w:rsidP="00687F45">
      <w:pPr>
        <w:jc w:val="both"/>
        <w:rPr>
          <w:rFonts w:ascii="Arial" w:hAnsi="Arial" w:cs="Arial"/>
          <w:b/>
          <w:bCs/>
          <w:sz w:val="28"/>
          <w:szCs w:val="28"/>
          <w:u w:val="single"/>
        </w:rPr>
      </w:pPr>
      <w:r w:rsidRPr="006A72BB">
        <w:rPr>
          <w:rFonts w:ascii="Arial" w:hAnsi="Arial" w:cs="Arial"/>
          <w:b/>
          <w:bCs/>
          <w:noProof/>
          <w:sz w:val="28"/>
          <w:szCs w:val="28"/>
          <w:u w:val="single"/>
        </w:rPr>
        <w:drawing>
          <wp:inline distT="0" distB="0" distL="0" distR="0">
            <wp:extent cx="6645330" cy="4229100"/>
            <wp:effectExtent l="0" t="0" r="3175" b="0"/>
            <wp:docPr id="4" name="Image 4" descr="C:\Users\EPBFIA~1\AppData\Local\Temp\Bloomberg\temp\bfm4E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4E1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625" cy="4229924"/>
                    </a:xfrm>
                    <a:prstGeom prst="rect">
                      <a:avLst/>
                    </a:prstGeom>
                    <a:noFill/>
                    <a:ln>
                      <a:noFill/>
                    </a:ln>
                  </pic:spPr>
                </pic:pic>
              </a:graphicData>
            </a:graphic>
          </wp:inline>
        </w:drawing>
      </w:r>
    </w:p>
    <w:p w:rsidR="00B03AED" w:rsidRPr="00411088" w:rsidRDefault="00B03AED" w:rsidP="006E6472">
      <w:pPr>
        <w:jc w:val="both"/>
        <w:rPr>
          <w:rFonts w:ascii="Arial" w:hAnsi="Arial" w:cs="Arial"/>
          <w:b/>
          <w:bCs/>
          <w:sz w:val="28"/>
          <w:szCs w:val="28"/>
          <w:u w:val="single"/>
        </w:rPr>
      </w:pPr>
      <w:r w:rsidRPr="00411088">
        <w:rPr>
          <w:rFonts w:ascii="Arial" w:hAnsi="Arial" w:cs="Arial"/>
          <w:b/>
          <w:bCs/>
          <w:sz w:val="28"/>
          <w:szCs w:val="28"/>
          <w:u w:val="single"/>
        </w:rPr>
        <w:t>Weekly</w:t>
      </w:r>
    </w:p>
    <w:p w:rsidR="00A85203" w:rsidRDefault="006A72BB" w:rsidP="00126BB5">
      <w:pPr>
        <w:ind w:left="-283"/>
        <w:jc w:val="both"/>
        <w:rPr>
          <w:rFonts w:ascii="Arial" w:hAnsi="Arial" w:cs="Arial"/>
          <w:b/>
          <w:bCs/>
          <w:sz w:val="28"/>
          <w:szCs w:val="28"/>
          <w:u w:val="single"/>
        </w:rPr>
      </w:pPr>
      <w:r w:rsidRPr="006A72BB">
        <w:rPr>
          <w:rFonts w:ascii="Arial" w:hAnsi="Arial" w:cs="Arial"/>
          <w:b/>
          <w:bCs/>
          <w:noProof/>
          <w:sz w:val="28"/>
          <w:szCs w:val="28"/>
          <w:u w:val="single"/>
        </w:rPr>
        <w:drawing>
          <wp:inline distT="0" distB="0" distL="0" distR="0">
            <wp:extent cx="6645275" cy="4171950"/>
            <wp:effectExtent l="0" t="0" r="3175" b="0"/>
            <wp:docPr id="5" name="Image 5" descr="C:\Users\EPBFIA~1\AppData\Local\Temp\Bloomberg\temp\bfmC00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C005.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352" cy="4172626"/>
                    </a:xfrm>
                    <a:prstGeom prst="rect">
                      <a:avLst/>
                    </a:prstGeom>
                    <a:noFill/>
                    <a:ln>
                      <a:noFill/>
                    </a:ln>
                  </pic:spPr>
                </pic:pic>
              </a:graphicData>
            </a:graphic>
          </wp:inline>
        </w:drawing>
      </w:r>
    </w:p>
    <w:p w:rsidR="00E00BBF" w:rsidRPr="00411088" w:rsidRDefault="00E00BBF" w:rsidP="00126BB5">
      <w:pPr>
        <w:ind w:left="-283"/>
        <w:jc w:val="both"/>
        <w:rPr>
          <w:rFonts w:ascii="Arial" w:hAnsi="Arial" w:cs="Arial"/>
          <w:b/>
          <w:bCs/>
          <w:sz w:val="28"/>
          <w:szCs w:val="28"/>
          <w:u w:val="single"/>
        </w:rPr>
      </w:pPr>
    </w:p>
    <w:p w:rsidR="00733AD4" w:rsidRPr="00411088" w:rsidRDefault="00A30EF5" w:rsidP="00E81EBB">
      <w:pPr>
        <w:ind w:left="-850"/>
        <w:jc w:val="both"/>
        <w:rPr>
          <w:rFonts w:ascii="Arial" w:hAnsi="Arial" w:cs="Arial"/>
          <w:b/>
          <w:bCs/>
          <w:sz w:val="28"/>
          <w:szCs w:val="28"/>
          <w:u w:val="single"/>
        </w:rPr>
      </w:pPr>
      <w:r w:rsidRPr="00411088">
        <w:rPr>
          <w:rFonts w:ascii="Arial" w:hAnsi="Arial" w:cs="Arial"/>
          <w:b/>
          <w:bCs/>
          <w:sz w:val="28"/>
          <w:szCs w:val="28"/>
        </w:rPr>
        <w:lastRenderedPageBreak/>
        <w:t xml:space="preserve">       </w:t>
      </w:r>
      <w:r w:rsidR="00B4277F" w:rsidRPr="00411088">
        <w:rPr>
          <w:rFonts w:ascii="Arial" w:hAnsi="Arial" w:cs="Arial"/>
          <w:b/>
          <w:bCs/>
          <w:sz w:val="28"/>
          <w:szCs w:val="28"/>
        </w:rPr>
        <w:t xml:space="preserve">   </w:t>
      </w:r>
      <w:r w:rsidR="00B03AED" w:rsidRPr="00411088">
        <w:rPr>
          <w:rFonts w:ascii="Arial" w:hAnsi="Arial" w:cs="Arial"/>
          <w:b/>
          <w:bCs/>
          <w:sz w:val="28"/>
          <w:szCs w:val="28"/>
          <w:u w:val="single"/>
        </w:rPr>
        <w:t xml:space="preserve">Daily </w:t>
      </w:r>
    </w:p>
    <w:p w:rsidR="00952237" w:rsidRPr="00411088" w:rsidRDefault="006A72BB" w:rsidP="00CF690F">
      <w:pPr>
        <w:jc w:val="both"/>
        <w:rPr>
          <w:rFonts w:ascii="Arial" w:hAnsi="Arial" w:cs="Arial"/>
          <w:b/>
          <w:bCs/>
          <w:sz w:val="28"/>
          <w:szCs w:val="28"/>
          <w:u w:val="single"/>
        </w:rPr>
      </w:pPr>
      <w:r w:rsidRPr="006A72BB">
        <w:rPr>
          <w:rFonts w:ascii="Arial" w:hAnsi="Arial" w:cs="Arial"/>
          <w:b/>
          <w:bCs/>
          <w:noProof/>
          <w:sz w:val="28"/>
          <w:szCs w:val="28"/>
          <w:u w:val="single"/>
        </w:rPr>
        <w:drawing>
          <wp:inline distT="0" distB="0" distL="0" distR="0">
            <wp:extent cx="6645330" cy="3590925"/>
            <wp:effectExtent l="0" t="0" r="3175" b="0"/>
            <wp:docPr id="6" name="Image 6" descr="C:\Users\EPBFIA~1\AppData\Local\Temp\Bloomberg\temp\bfm4F1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4F17.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955" cy="3591803"/>
                    </a:xfrm>
                    <a:prstGeom prst="rect">
                      <a:avLst/>
                    </a:prstGeom>
                    <a:noFill/>
                    <a:ln>
                      <a:noFill/>
                    </a:ln>
                  </pic:spPr>
                </pic:pic>
              </a:graphicData>
            </a:graphic>
          </wp:inline>
        </w:drawing>
      </w:r>
    </w:p>
    <w:p w:rsidR="00621305" w:rsidRDefault="00621305" w:rsidP="006E6472">
      <w:pPr>
        <w:jc w:val="both"/>
        <w:rPr>
          <w:rFonts w:ascii="Tahoma" w:hAnsi="Tahoma" w:cs="Tahoma"/>
        </w:rPr>
      </w:pPr>
    </w:p>
    <w:p w:rsidR="00E50001" w:rsidRPr="00E50001" w:rsidRDefault="00133ACB" w:rsidP="00E50001">
      <w:pPr>
        <w:tabs>
          <w:tab w:val="left" w:pos="5868"/>
        </w:tabs>
        <w:autoSpaceDE w:val="0"/>
        <w:jc w:val="both"/>
        <w:rPr>
          <w:rFonts w:ascii="Tahoma" w:hAnsi="Tahoma" w:cs="Tahoma"/>
        </w:rPr>
      </w:pPr>
      <w:bookmarkStart w:id="2" w:name="_Hlk536196149"/>
      <w:r w:rsidRPr="00720523">
        <w:rPr>
          <w:rFonts w:ascii="Arial" w:hAnsi="Arial" w:cs="Arial"/>
          <w:b/>
          <w:u w:val="single"/>
        </w:rPr>
        <w:t>Co</w:t>
      </w:r>
      <w:r>
        <w:rPr>
          <w:rFonts w:ascii="Arial" w:hAnsi="Arial" w:cs="Arial"/>
          <w:b/>
          <w:u w:val="single"/>
        </w:rPr>
        <w:t>mité</w:t>
      </w:r>
      <w:r w:rsidR="0077671C">
        <w:rPr>
          <w:rFonts w:ascii="Arial" w:hAnsi="Arial" w:cs="Arial"/>
          <w:b/>
          <w:u w:val="single"/>
        </w:rPr>
        <w:t xml:space="preserve"> d’analyse technique du </w:t>
      </w:r>
      <w:r w:rsidR="00BA7B91">
        <w:rPr>
          <w:rFonts w:ascii="Arial" w:hAnsi="Arial" w:cs="Arial"/>
          <w:b/>
          <w:u w:val="single"/>
        </w:rPr>
        <w:t>19-02</w:t>
      </w:r>
      <w:r w:rsidR="0077671C">
        <w:rPr>
          <w:rFonts w:ascii="Arial" w:hAnsi="Arial" w:cs="Arial"/>
          <w:b/>
          <w:u w:val="single"/>
        </w:rPr>
        <w:t>-19</w:t>
      </w:r>
      <w:r w:rsidR="0077671C" w:rsidRPr="00720523">
        <w:rPr>
          <w:rFonts w:ascii="Arial" w:hAnsi="Arial" w:cs="Arial"/>
          <w:b/>
        </w:rPr>
        <w:t> :</w:t>
      </w:r>
      <w:r w:rsidR="0077671C">
        <w:rPr>
          <w:rFonts w:ascii="Arial" w:hAnsi="Arial" w:cs="Arial"/>
          <w:b/>
        </w:rPr>
        <w:t xml:space="preserve"> </w:t>
      </w:r>
      <w:bookmarkEnd w:id="2"/>
      <w:r w:rsidR="00E50001" w:rsidRPr="00E50001">
        <w:rPr>
          <w:rFonts w:ascii="Tahoma" w:hAnsi="Tahoma" w:cs="Tahoma"/>
        </w:rPr>
        <w:t>Le contexte est haussier sur le long terme et le moyen terme. Sur le long terme, le plat de KS de 2.63 renforcera le poids de l’ancienne résistance de 2.64. Sa rupture ramènera le marché sur 2.57, plat de nuage et support qui ne sera invalidé qu’a</w:t>
      </w:r>
      <w:r w:rsidR="00465988">
        <w:rPr>
          <w:rFonts w:ascii="Tahoma" w:hAnsi="Tahoma" w:cs="Tahoma"/>
        </w:rPr>
        <w:t>prés</w:t>
      </w:r>
      <w:r w:rsidR="00E50001" w:rsidRPr="00E50001">
        <w:rPr>
          <w:rFonts w:ascii="Tahoma" w:hAnsi="Tahoma" w:cs="Tahoma"/>
        </w:rPr>
        <w:t xml:space="preserve"> une clôture mensuelle. Au-dessus de 2.63, le plat de TS sur 2.90 servira de résistance.</w:t>
      </w:r>
    </w:p>
    <w:p w:rsidR="00E50001" w:rsidRPr="00E50001" w:rsidRDefault="00E50001" w:rsidP="00E50001">
      <w:pPr>
        <w:tabs>
          <w:tab w:val="left" w:pos="5868"/>
        </w:tabs>
        <w:autoSpaceDE w:val="0"/>
        <w:jc w:val="both"/>
        <w:rPr>
          <w:rFonts w:ascii="Tahoma" w:hAnsi="Tahoma" w:cs="Tahoma"/>
        </w:rPr>
      </w:pPr>
      <w:r w:rsidRPr="00E50001">
        <w:rPr>
          <w:rFonts w:ascii="Tahoma" w:hAnsi="Tahoma" w:cs="Tahoma"/>
        </w:rPr>
        <w:t xml:space="preserve">Sur le moyen terme, le marché évolue au sein de sa zone d’équilibre matérialisée par son nuage. Elle sera cadrée pour les semaines à venir entre 2.57 et 2.90. </w:t>
      </w:r>
    </w:p>
    <w:p w:rsidR="00E50001" w:rsidRPr="00E50001" w:rsidRDefault="00E50001" w:rsidP="00E50001">
      <w:pPr>
        <w:tabs>
          <w:tab w:val="left" w:pos="5868"/>
        </w:tabs>
        <w:autoSpaceDE w:val="0"/>
        <w:jc w:val="both"/>
        <w:rPr>
          <w:rFonts w:ascii="Tahoma" w:hAnsi="Tahoma" w:cs="Tahoma"/>
        </w:rPr>
      </w:pPr>
      <w:r w:rsidRPr="00E50001">
        <w:rPr>
          <w:rFonts w:ascii="Tahoma" w:hAnsi="Tahoma" w:cs="Tahoma"/>
        </w:rPr>
        <w:t>Une cassure de 2.57 devra être validée par un dépassement du bas récent de 2.54. Pour envisager un changement d’environnement, la baisse devra se poursuivre au-delà de 2.48, partie basse du nuage de la LS.</w:t>
      </w:r>
    </w:p>
    <w:p w:rsidR="00E50001" w:rsidRPr="00E50001" w:rsidRDefault="00E50001" w:rsidP="00E50001">
      <w:pPr>
        <w:tabs>
          <w:tab w:val="left" w:pos="5868"/>
        </w:tabs>
        <w:autoSpaceDE w:val="0"/>
        <w:jc w:val="both"/>
        <w:rPr>
          <w:rFonts w:ascii="Tahoma" w:hAnsi="Tahoma" w:cs="Tahoma"/>
        </w:rPr>
      </w:pPr>
      <w:r w:rsidRPr="00E50001">
        <w:rPr>
          <w:rFonts w:ascii="Tahoma" w:hAnsi="Tahoma" w:cs="Tahoma"/>
        </w:rPr>
        <w:t>Pas de reprise de la hausse tant que la résistance de 2.90 ne sera pas dépassée.</w:t>
      </w:r>
    </w:p>
    <w:p w:rsidR="0077671C" w:rsidRDefault="0077671C" w:rsidP="006E6472">
      <w:pPr>
        <w:jc w:val="both"/>
        <w:rPr>
          <w:rFonts w:ascii="Tahoma" w:hAnsi="Tahoma" w:cs="Tahoma"/>
        </w:rPr>
      </w:pPr>
    </w:p>
    <w:p w:rsidR="00BA7B91" w:rsidRDefault="00BA7B91" w:rsidP="006E6472">
      <w:pPr>
        <w:jc w:val="both"/>
        <w:rPr>
          <w:rFonts w:ascii="Tahoma" w:hAnsi="Tahoma" w:cs="Tahoma"/>
        </w:rPr>
      </w:pPr>
    </w:p>
    <w:p w:rsidR="0083587E" w:rsidRDefault="0077671C" w:rsidP="00BA7B91">
      <w:pPr>
        <w:jc w:val="both"/>
        <w:rPr>
          <w:rFonts w:ascii="Tahoma" w:hAnsi="Tahoma" w:cs="Tahoma"/>
        </w:rPr>
      </w:pPr>
      <w:bookmarkStart w:id="3" w:name="_Hlk536196100"/>
      <w:r w:rsidRPr="00094FF5">
        <w:rPr>
          <w:rFonts w:ascii="Arial" w:hAnsi="Arial" w:cs="Arial"/>
          <w:b/>
          <w:u w:val="single"/>
        </w:rPr>
        <w:t>Sur le court terme (</w:t>
      </w:r>
      <w:r w:rsidR="00BA7B91" w:rsidRPr="00094FF5">
        <w:rPr>
          <w:rFonts w:ascii="Arial" w:hAnsi="Arial" w:cs="Arial"/>
          <w:b/>
          <w:u w:val="single"/>
        </w:rPr>
        <w:t>25-02</w:t>
      </w:r>
      <w:r w:rsidRPr="00094FF5">
        <w:rPr>
          <w:rFonts w:ascii="Arial" w:hAnsi="Arial" w:cs="Arial"/>
          <w:b/>
          <w:u w:val="single"/>
        </w:rPr>
        <w:t>-19)</w:t>
      </w:r>
      <w:r w:rsidRPr="0077671C">
        <w:rPr>
          <w:rFonts w:ascii="Tahoma" w:hAnsi="Tahoma" w:cs="Tahoma"/>
        </w:rPr>
        <w:t xml:space="preserve"> </w:t>
      </w:r>
      <w:r>
        <w:rPr>
          <w:rFonts w:ascii="Tahoma" w:hAnsi="Tahoma" w:cs="Tahoma"/>
        </w:rPr>
        <w:t>:</w:t>
      </w:r>
      <w:r w:rsidR="00E00BBF">
        <w:rPr>
          <w:rFonts w:ascii="Tahoma" w:hAnsi="Tahoma" w:cs="Tahoma"/>
        </w:rPr>
        <w:t xml:space="preserve"> </w:t>
      </w:r>
      <w:r w:rsidR="006D637F">
        <w:rPr>
          <w:rFonts w:ascii="Tahoma" w:hAnsi="Tahoma" w:cs="Tahoma"/>
        </w:rPr>
        <w:t>Le 10 ans US consolide au sein d’un triangle</w:t>
      </w:r>
      <w:r w:rsidR="0083587E">
        <w:rPr>
          <w:rFonts w:ascii="Tahoma" w:hAnsi="Tahoma" w:cs="Tahoma"/>
        </w:rPr>
        <w:t xml:space="preserve"> </w:t>
      </w:r>
      <w:r w:rsidR="00DD2660">
        <w:rPr>
          <w:rFonts w:ascii="Tahoma" w:hAnsi="Tahoma" w:cs="Tahoma"/>
        </w:rPr>
        <w:t>symétrique</w:t>
      </w:r>
      <w:r w:rsidR="0083587E">
        <w:rPr>
          <w:rFonts w:ascii="Tahoma" w:hAnsi="Tahoma" w:cs="Tahoma"/>
        </w:rPr>
        <w:t xml:space="preserve">. La cassure se fera soit par la borne haute soit par la borne basse. Pas de sens de sortie avantagé pour ce genre de triangle. Selon le point de rupture, l’objectif théorique de </w:t>
      </w:r>
      <w:r w:rsidR="003C2DDD">
        <w:rPr>
          <w:rFonts w:ascii="Tahoma" w:hAnsi="Tahoma" w:cs="Tahoma"/>
        </w:rPr>
        <w:t>10 à 12 Bps et</w:t>
      </w:r>
      <w:r w:rsidR="0083587E">
        <w:rPr>
          <w:rFonts w:ascii="Tahoma" w:hAnsi="Tahoma" w:cs="Tahoma"/>
        </w:rPr>
        <w:t xml:space="preserve"> </w:t>
      </w:r>
      <w:r w:rsidR="00DD2660">
        <w:rPr>
          <w:rFonts w:ascii="Tahoma" w:hAnsi="Tahoma" w:cs="Tahoma"/>
        </w:rPr>
        <w:t>ramènera</w:t>
      </w:r>
      <w:r w:rsidR="0083587E">
        <w:rPr>
          <w:rFonts w:ascii="Tahoma" w:hAnsi="Tahoma" w:cs="Tahoma"/>
        </w:rPr>
        <w:t xml:space="preserve"> le taux dans une zone comprise entre 2.81 et 2.77 pour la hausse et </w:t>
      </w:r>
      <w:r w:rsidR="00DD2660">
        <w:rPr>
          <w:rFonts w:ascii="Tahoma" w:hAnsi="Tahoma" w:cs="Tahoma"/>
        </w:rPr>
        <w:t>au-dessus</w:t>
      </w:r>
      <w:r w:rsidR="0083587E">
        <w:rPr>
          <w:rFonts w:ascii="Tahoma" w:hAnsi="Tahoma" w:cs="Tahoma"/>
        </w:rPr>
        <w:t xml:space="preserve"> de 2.50 pour la baisse. En </w:t>
      </w:r>
      <w:r w:rsidR="00DD2660">
        <w:rPr>
          <w:rFonts w:ascii="Tahoma" w:hAnsi="Tahoma" w:cs="Tahoma"/>
        </w:rPr>
        <w:t>reprenant</w:t>
      </w:r>
      <w:r w:rsidR="0083587E">
        <w:rPr>
          <w:rFonts w:ascii="Tahoma" w:hAnsi="Tahoma" w:cs="Tahoma"/>
        </w:rPr>
        <w:t xml:space="preserve"> le précédent haut et le précédent bas respectivement en résistance et en support, </w:t>
      </w:r>
      <w:r w:rsidR="003C2DDD">
        <w:rPr>
          <w:rFonts w:ascii="Tahoma" w:hAnsi="Tahoma" w:cs="Tahoma"/>
        </w:rPr>
        <w:t xml:space="preserve">en sortie de triangle </w:t>
      </w:r>
      <w:r w:rsidR="0083587E">
        <w:rPr>
          <w:rFonts w:ascii="Tahoma" w:hAnsi="Tahoma" w:cs="Tahoma"/>
        </w:rPr>
        <w:t xml:space="preserve">l’action du marché </w:t>
      </w:r>
      <w:r w:rsidR="00DD2660">
        <w:rPr>
          <w:rFonts w:ascii="Tahoma" w:hAnsi="Tahoma" w:cs="Tahoma"/>
        </w:rPr>
        <w:t>amènera</w:t>
      </w:r>
      <w:r w:rsidR="0083587E">
        <w:rPr>
          <w:rFonts w:ascii="Tahoma" w:hAnsi="Tahoma" w:cs="Tahoma"/>
        </w:rPr>
        <w:t xml:space="preserve"> le 10 ans US sur 2.80 ou 2.54.</w:t>
      </w:r>
    </w:p>
    <w:p w:rsidR="007D3F54" w:rsidRDefault="0083587E" w:rsidP="00BA7B91">
      <w:pPr>
        <w:jc w:val="both"/>
        <w:rPr>
          <w:rFonts w:ascii="Tahoma" w:hAnsi="Tahoma" w:cs="Tahoma"/>
        </w:rPr>
      </w:pPr>
      <w:r>
        <w:rPr>
          <w:rFonts w:ascii="Tahoma" w:hAnsi="Tahoma" w:cs="Tahoma"/>
        </w:rPr>
        <w:t xml:space="preserve"> </w:t>
      </w:r>
    </w:p>
    <w:p w:rsidR="00BA7B91" w:rsidRDefault="00BA7B91" w:rsidP="00BA7B91">
      <w:pPr>
        <w:jc w:val="both"/>
        <w:rPr>
          <w:rFonts w:ascii="Tahoma" w:hAnsi="Tahoma" w:cs="Tahoma"/>
        </w:rPr>
      </w:pPr>
    </w:p>
    <w:bookmarkEnd w:id="3"/>
    <w:p w:rsidR="0077671C" w:rsidRDefault="0077671C" w:rsidP="006E6472">
      <w:pPr>
        <w:jc w:val="both"/>
        <w:rPr>
          <w:rFonts w:ascii="Tahoma" w:hAnsi="Tahoma" w:cs="Tahoma"/>
        </w:rPr>
      </w:pPr>
    </w:p>
    <w:p w:rsidR="00BA7B91" w:rsidRPr="00636A76" w:rsidRDefault="00BA7B91" w:rsidP="006E6472">
      <w:pPr>
        <w:jc w:val="both"/>
        <w:rPr>
          <w:rFonts w:ascii="Tahoma" w:hAnsi="Tahoma" w:cs="Tahoma"/>
        </w:rPr>
      </w:pPr>
    </w:p>
    <w:p w:rsidR="00690775" w:rsidRPr="002D5234" w:rsidRDefault="00F72829" w:rsidP="00C8169C">
      <w:pPr>
        <w:jc w:val="both"/>
        <w:rPr>
          <w:rFonts w:ascii="Arial" w:hAnsi="Arial" w:cs="Arial"/>
          <w:b/>
          <w:color w:val="00B050"/>
        </w:rPr>
      </w:pPr>
      <w:r w:rsidRPr="002D5234">
        <w:rPr>
          <w:rFonts w:ascii="Arial" w:hAnsi="Arial" w:cs="Arial"/>
          <w:b/>
          <w:color w:val="00B050"/>
          <w:u w:val="single"/>
        </w:rPr>
        <w:t>HEBDOMADAIRE</w:t>
      </w:r>
      <w:r w:rsidRPr="002D5234">
        <w:rPr>
          <w:rFonts w:ascii="Arial" w:hAnsi="Arial" w:cs="Arial"/>
          <w:b/>
          <w:color w:val="00B050"/>
        </w:rPr>
        <w:t xml:space="preserve"> : </w:t>
      </w:r>
      <w:r w:rsidR="003F1A42" w:rsidRPr="002D5234">
        <w:rPr>
          <w:rFonts w:ascii="Arial" w:hAnsi="Arial" w:cs="Arial"/>
          <w:b/>
          <w:color w:val="00B050"/>
        </w:rPr>
        <w:t xml:space="preserve">Consolidation du marché au sein d’un triangle symétrique qui ne donne pas le sens de sortie. La rupture </w:t>
      </w:r>
      <w:r w:rsidR="00DD2660" w:rsidRPr="002D5234">
        <w:rPr>
          <w:rFonts w:ascii="Arial" w:hAnsi="Arial" w:cs="Arial"/>
          <w:b/>
          <w:color w:val="00B050"/>
        </w:rPr>
        <w:t>amènera</w:t>
      </w:r>
      <w:r w:rsidR="003F1A42" w:rsidRPr="002D5234">
        <w:rPr>
          <w:rFonts w:ascii="Arial" w:hAnsi="Arial" w:cs="Arial"/>
          <w:b/>
          <w:color w:val="00B050"/>
        </w:rPr>
        <w:t xml:space="preserve"> le 10 ans US sur le précédent support de 2.54 ou le sommet de 2.80.</w:t>
      </w:r>
    </w:p>
    <w:p w:rsidR="00690775" w:rsidRDefault="00690775" w:rsidP="00C8169C">
      <w:pPr>
        <w:jc w:val="both"/>
        <w:rPr>
          <w:rFonts w:ascii="Arial" w:hAnsi="Arial" w:cs="Arial"/>
          <w:b/>
          <w:color w:val="00B050"/>
        </w:rPr>
      </w:pPr>
    </w:p>
    <w:p w:rsidR="003C2DDD" w:rsidRDefault="003C2DDD" w:rsidP="00C8169C">
      <w:pPr>
        <w:jc w:val="both"/>
        <w:rPr>
          <w:rFonts w:ascii="Arial" w:hAnsi="Arial" w:cs="Arial"/>
          <w:b/>
          <w:color w:val="00B050"/>
        </w:rPr>
      </w:pPr>
    </w:p>
    <w:p w:rsidR="000068C7" w:rsidRDefault="000068C7" w:rsidP="00C8169C">
      <w:pPr>
        <w:jc w:val="both"/>
        <w:rPr>
          <w:rFonts w:ascii="Arial" w:hAnsi="Arial" w:cs="Arial"/>
          <w:b/>
          <w:color w:val="00B050"/>
        </w:rPr>
      </w:pPr>
    </w:p>
    <w:p w:rsidR="000068C7" w:rsidRPr="00690775" w:rsidRDefault="000068C7" w:rsidP="00C8169C">
      <w:pPr>
        <w:jc w:val="both"/>
        <w:rPr>
          <w:rFonts w:ascii="Arial" w:hAnsi="Arial" w:cs="Arial"/>
          <w:b/>
          <w:color w:val="00B050"/>
        </w:rPr>
      </w:pPr>
    </w:p>
    <w:p w:rsidR="00DC295E" w:rsidRPr="00AD7F6F" w:rsidRDefault="00D43DAB" w:rsidP="00A645F8">
      <w:pPr>
        <w:jc w:val="both"/>
        <w:rPr>
          <w:rFonts w:ascii="Arial" w:eastAsia="Calibri" w:hAnsi="Arial" w:cs="Arial"/>
          <w:b/>
        </w:rPr>
      </w:pPr>
      <w:r w:rsidRPr="007F39E0">
        <w:rPr>
          <w:rFonts w:ascii="Arial" w:hAnsi="Arial" w:cs="Arial"/>
          <w:b/>
          <w:bCs/>
          <w:sz w:val="36"/>
          <w:szCs w:val="36"/>
        </w:rPr>
        <w:lastRenderedPageBreak/>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00FA4DDF">
        <w:rPr>
          <w:rFonts w:ascii="Arial" w:hAnsi="Arial" w:cs="Arial"/>
          <w:b/>
          <w:bCs/>
          <w:sz w:val="36"/>
          <w:szCs w:val="36"/>
        </w:rPr>
        <w:t xml:space="preserve">       </w:t>
      </w:r>
      <w:bookmarkStart w:id="4" w:name="_GoBack"/>
      <w:bookmarkEnd w:id="0"/>
      <w:bookmarkEnd w:id="4"/>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094FF5">
          <w:rPr>
            <w:noProof/>
          </w:rPr>
          <w:t>4</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82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068C7"/>
    <w:rsid w:val="000103AA"/>
    <w:rsid w:val="00011200"/>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6DF"/>
    <w:rsid w:val="000526FF"/>
    <w:rsid w:val="0005450A"/>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74DF"/>
    <w:rsid w:val="00090B79"/>
    <w:rsid w:val="00093D02"/>
    <w:rsid w:val="00094EB3"/>
    <w:rsid w:val="00094FF5"/>
    <w:rsid w:val="0009578D"/>
    <w:rsid w:val="0009601D"/>
    <w:rsid w:val="000A0E9B"/>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D9D"/>
    <w:rsid w:val="000D72F9"/>
    <w:rsid w:val="000D7ED2"/>
    <w:rsid w:val="000E0A8B"/>
    <w:rsid w:val="000E314B"/>
    <w:rsid w:val="000E4AFF"/>
    <w:rsid w:val="000E52B2"/>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3FAA"/>
    <w:rsid w:val="00104E12"/>
    <w:rsid w:val="0010583E"/>
    <w:rsid w:val="00112311"/>
    <w:rsid w:val="00112363"/>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3ACB"/>
    <w:rsid w:val="00134724"/>
    <w:rsid w:val="00137718"/>
    <w:rsid w:val="00141BFC"/>
    <w:rsid w:val="00141F36"/>
    <w:rsid w:val="001420E9"/>
    <w:rsid w:val="00142231"/>
    <w:rsid w:val="00145281"/>
    <w:rsid w:val="00145813"/>
    <w:rsid w:val="001474FD"/>
    <w:rsid w:val="00151611"/>
    <w:rsid w:val="00151A43"/>
    <w:rsid w:val="00152500"/>
    <w:rsid w:val="00152726"/>
    <w:rsid w:val="00153297"/>
    <w:rsid w:val="00153318"/>
    <w:rsid w:val="00153487"/>
    <w:rsid w:val="00155762"/>
    <w:rsid w:val="001562F5"/>
    <w:rsid w:val="001620BC"/>
    <w:rsid w:val="0016468C"/>
    <w:rsid w:val="00164E23"/>
    <w:rsid w:val="0016730B"/>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6D35"/>
    <w:rsid w:val="001A70FB"/>
    <w:rsid w:val="001A7163"/>
    <w:rsid w:val="001B1120"/>
    <w:rsid w:val="001B1285"/>
    <w:rsid w:val="001B1B61"/>
    <w:rsid w:val="001B313E"/>
    <w:rsid w:val="001B6534"/>
    <w:rsid w:val="001C0911"/>
    <w:rsid w:val="001C0A29"/>
    <w:rsid w:val="001C1C7A"/>
    <w:rsid w:val="001C2D3A"/>
    <w:rsid w:val="001C484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91B"/>
    <w:rsid w:val="00235DEB"/>
    <w:rsid w:val="0023751E"/>
    <w:rsid w:val="002412DD"/>
    <w:rsid w:val="00242AD1"/>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3EB0"/>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234"/>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48EF"/>
    <w:rsid w:val="00337BE0"/>
    <w:rsid w:val="003411EA"/>
    <w:rsid w:val="0034135F"/>
    <w:rsid w:val="0034170D"/>
    <w:rsid w:val="00343C2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961"/>
    <w:rsid w:val="00367053"/>
    <w:rsid w:val="00367239"/>
    <w:rsid w:val="00367599"/>
    <w:rsid w:val="003702C4"/>
    <w:rsid w:val="003728FB"/>
    <w:rsid w:val="00373142"/>
    <w:rsid w:val="003750B6"/>
    <w:rsid w:val="003754F3"/>
    <w:rsid w:val="00377440"/>
    <w:rsid w:val="0037765A"/>
    <w:rsid w:val="0038013D"/>
    <w:rsid w:val="00380FB7"/>
    <w:rsid w:val="0038119F"/>
    <w:rsid w:val="00381240"/>
    <w:rsid w:val="00382502"/>
    <w:rsid w:val="00383BAC"/>
    <w:rsid w:val="0038454B"/>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0B4D"/>
    <w:rsid w:val="003C1462"/>
    <w:rsid w:val="003C27DA"/>
    <w:rsid w:val="003C2DDD"/>
    <w:rsid w:val="003C4EDA"/>
    <w:rsid w:val="003D08EB"/>
    <w:rsid w:val="003D41A5"/>
    <w:rsid w:val="003D663C"/>
    <w:rsid w:val="003E1B3F"/>
    <w:rsid w:val="003E286C"/>
    <w:rsid w:val="003E3CAD"/>
    <w:rsid w:val="003E3E0C"/>
    <w:rsid w:val="003E462E"/>
    <w:rsid w:val="003E5A71"/>
    <w:rsid w:val="003E749D"/>
    <w:rsid w:val="003F1A42"/>
    <w:rsid w:val="003F4023"/>
    <w:rsid w:val="003F42D2"/>
    <w:rsid w:val="003F502F"/>
    <w:rsid w:val="003F6F10"/>
    <w:rsid w:val="003F7686"/>
    <w:rsid w:val="00401AE1"/>
    <w:rsid w:val="00401C1D"/>
    <w:rsid w:val="00401CC8"/>
    <w:rsid w:val="00401F6A"/>
    <w:rsid w:val="00402633"/>
    <w:rsid w:val="004032E3"/>
    <w:rsid w:val="00403835"/>
    <w:rsid w:val="00404264"/>
    <w:rsid w:val="004069F1"/>
    <w:rsid w:val="00406A37"/>
    <w:rsid w:val="00407002"/>
    <w:rsid w:val="00411088"/>
    <w:rsid w:val="004110E2"/>
    <w:rsid w:val="004112A5"/>
    <w:rsid w:val="0041146D"/>
    <w:rsid w:val="004115D3"/>
    <w:rsid w:val="0041172B"/>
    <w:rsid w:val="00412CB3"/>
    <w:rsid w:val="00415641"/>
    <w:rsid w:val="00416B48"/>
    <w:rsid w:val="00416F1A"/>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985"/>
    <w:rsid w:val="00457643"/>
    <w:rsid w:val="00461D48"/>
    <w:rsid w:val="00462BAF"/>
    <w:rsid w:val="00464BA2"/>
    <w:rsid w:val="004657DD"/>
    <w:rsid w:val="00465988"/>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67F9"/>
    <w:rsid w:val="004C0997"/>
    <w:rsid w:val="004C107D"/>
    <w:rsid w:val="004C1D94"/>
    <w:rsid w:val="004C57CF"/>
    <w:rsid w:val="004C7595"/>
    <w:rsid w:val="004C793E"/>
    <w:rsid w:val="004D02B8"/>
    <w:rsid w:val="004D2E5B"/>
    <w:rsid w:val="004D3429"/>
    <w:rsid w:val="004D34DF"/>
    <w:rsid w:val="004D3A21"/>
    <w:rsid w:val="004D6D25"/>
    <w:rsid w:val="004E02D3"/>
    <w:rsid w:val="004E2FE7"/>
    <w:rsid w:val="004E4C26"/>
    <w:rsid w:val="004E4DA1"/>
    <w:rsid w:val="004E5DFE"/>
    <w:rsid w:val="004E61BD"/>
    <w:rsid w:val="004F3450"/>
    <w:rsid w:val="004F35A1"/>
    <w:rsid w:val="004F3A2E"/>
    <w:rsid w:val="004F3E17"/>
    <w:rsid w:val="004F49FB"/>
    <w:rsid w:val="004F7364"/>
    <w:rsid w:val="004F7DB1"/>
    <w:rsid w:val="004F7DDC"/>
    <w:rsid w:val="00500A6D"/>
    <w:rsid w:val="00501DB6"/>
    <w:rsid w:val="00501F69"/>
    <w:rsid w:val="005021FC"/>
    <w:rsid w:val="00504921"/>
    <w:rsid w:val="0050573E"/>
    <w:rsid w:val="00510294"/>
    <w:rsid w:val="00510F8B"/>
    <w:rsid w:val="00512B03"/>
    <w:rsid w:val="00514C7E"/>
    <w:rsid w:val="005154A3"/>
    <w:rsid w:val="00515845"/>
    <w:rsid w:val="0051588E"/>
    <w:rsid w:val="005177AF"/>
    <w:rsid w:val="0052182E"/>
    <w:rsid w:val="00521EE7"/>
    <w:rsid w:val="005224FA"/>
    <w:rsid w:val="0052288F"/>
    <w:rsid w:val="00523D10"/>
    <w:rsid w:val="005240F6"/>
    <w:rsid w:val="005255A2"/>
    <w:rsid w:val="005258D6"/>
    <w:rsid w:val="0053209A"/>
    <w:rsid w:val="0054005C"/>
    <w:rsid w:val="0054194A"/>
    <w:rsid w:val="0054241C"/>
    <w:rsid w:val="005428F6"/>
    <w:rsid w:val="00542FB4"/>
    <w:rsid w:val="0054379C"/>
    <w:rsid w:val="005442B1"/>
    <w:rsid w:val="00545526"/>
    <w:rsid w:val="00545531"/>
    <w:rsid w:val="00545E40"/>
    <w:rsid w:val="005530C2"/>
    <w:rsid w:val="005542F2"/>
    <w:rsid w:val="005600F6"/>
    <w:rsid w:val="005622FD"/>
    <w:rsid w:val="00562C92"/>
    <w:rsid w:val="0056304D"/>
    <w:rsid w:val="0056419E"/>
    <w:rsid w:val="00565330"/>
    <w:rsid w:val="00567C3E"/>
    <w:rsid w:val="00567D59"/>
    <w:rsid w:val="00571826"/>
    <w:rsid w:val="00572E55"/>
    <w:rsid w:val="005758A9"/>
    <w:rsid w:val="005770A5"/>
    <w:rsid w:val="00577D21"/>
    <w:rsid w:val="00580C26"/>
    <w:rsid w:val="00581159"/>
    <w:rsid w:val="00583E6E"/>
    <w:rsid w:val="00584F98"/>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5660"/>
    <w:rsid w:val="005D7228"/>
    <w:rsid w:val="005E0045"/>
    <w:rsid w:val="005E3841"/>
    <w:rsid w:val="005E3A9D"/>
    <w:rsid w:val="005E4948"/>
    <w:rsid w:val="005F0148"/>
    <w:rsid w:val="005F0764"/>
    <w:rsid w:val="005F24E2"/>
    <w:rsid w:val="005F339E"/>
    <w:rsid w:val="005F7340"/>
    <w:rsid w:val="0060114F"/>
    <w:rsid w:val="0060274E"/>
    <w:rsid w:val="00602AC0"/>
    <w:rsid w:val="006048FD"/>
    <w:rsid w:val="00606B55"/>
    <w:rsid w:val="00606F69"/>
    <w:rsid w:val="00606FF3"/>
    <w:rsid w:val="00607B8E"/>
    <w:rsid w:val="00607C9B"/>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5C0"/>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2BB"/>
    <w:rsid w:val="006A74DA"/>
    <w:rsid w:val="006B021C"/>
    <w:rsid w:val="006B0A0C"/>
    <w:rsid w:val="006B0BF0"/>
    <w:rsid w:val="006B196C"/>
    <w:rsid w:val="006B35CA"/>
    <w:rsid w:val="006B39A5"/>
    <w:rsid w:val="006B4A73"/>
    <w:rsid w:val="006B5DB2"/>
    <w:rsid w:val="006C0FF6"/>
    <w:rsid w:val="006C10F5"/>
    <w:rsid w:val="006C35C9"/>
    <w:rsid w:val="006C4521"/>
    <w:rsid w:val="006C472D"/>
    <w:rsid w:val="006C50A4"/>
    <w:rsid w:val="006C59E0"/>
    <w:rsid w:val="006C634F"/>
    <w:rsid w:val="006C6EAF"/>
    <w:rsid w:val="006C7D86"/>
    <w:rsid w:val="006D01EC"/>
    <w:rsid w:val="006D0B63"/>
    <w:rsid w:val="006D178F"/>
    <w:rsid w:val="006D3D0E"/>
    <w:rsid w:val="006D637F"/>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643A"/>
    <w:rsid w:val="00707789"/>
    <w:rsid w:val="00710719"/>
    <w:rsid w:val="0071138F"/>
    <w:rsid w:val="00711A8C"/>
    <w:rsid w:val="00715596"/>
    <w:rsid w:val="0072039B"/>
    <w:rsid w:val="00720523"/>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8F2"/>
    <w:rsid w:val="007672B9"/>
    <w:rsid w:val="00770199"/>
    <w:rsid w:val="00771317"/>
    <w:rsid w:val="0077185D"/>
    <w:rsid w:val="00772BD6"/>
    <w:rsid w:val="00772C5B"/>
    <w:rsid w:val="0077442B"/>
    <w:rsid w:val="00774BF3"/>
    <w:rsid w:val="00775E44"/>
    <w:rsid w:val="0077671C"/>
    <w:rsid w:val="00776C3E"/>
    <w:rsid w:val="007774E7"/>
    <w:rsid w:val="007801B9"/>
    <w:rsid w:val="0078049F"/>
    <w:rsid w:val="0078148C"/>
    <w:rsid w:val="00781543"/>
    <w:rsid w:val="00781605"/>
    <w:rsid w:val="00782DF8"/>
    <w:rsid w:val="00783951"/>
    <w:rsid w:val="0079207B"/>
    <w:rsid w:val="0079235F"/>
    <w:rsid w:val="0079307A"/>
    <w:rsid w:val="0079738C"/>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3F54"/>
    <w:rsid w:val="007D4DA3"/>
    <w:rsid w:val="007D538A"/>
    <w:rsid w:val="007D59EA"/>
    <w:rsid w:val="007E0829"/>
    <w:rsid w:val="007E15A1"/>
    <w:rsid w:val="007E1AED"/>
    <w:rsid w:val="007E1F18"/>
    <w:rsid w:val="007E3F85"/>
    <w:rsid w:val="007E44C8"/>
    <w:rsid w:val="007E4A2B"/>
    <w:rsid w:val="007E62BC"/>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587E"/>
    <w:rsid w:val="008370A6"/>
    <w:rsid w:val="00837FB9"/>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66F18"/>
    <w:rsid w:val="00870411"/>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B21"/>
    <w:rsid w:val="00893DED"/>
    <w:rsid w:val="00894BE9"/>
    <w:rsid w:val="00894DA5"/>
    <w:rsid w:val="00897DD4"/>
    <w:rsid w:val="008A14C3"/>
    <w:rsid w:val="008A2B2F"/>
    <w:rsid w:val="008A3DE3"/>
    <w:rsid w:val="008A4666"/>
    <w:rsid w:val="008A4E31"/>
    <w:rsid w:val="008A7F8B"/>
    <w:rsid w:val="008B1C6B"/>
    <w:rsid w:val="008B2A06"/>
    <w:rsid w:val="008B5673"/>
    <w:rsid w:val="008B5D81"/>
    <w:rsid w:val="008B636B"/>
    <w:rsid w:val="008B7591"/>
    <w:rsid w:val="008C46FE"/>
    <w:rsid w:val="008C60C0"/>
    <w:rsid w:val="008C648F"/>
    <w:rsid w:val="008C6E2B"/>
    <w:rsid w:val="008D0E1C"/>
    <w:rsid w:val="008D2BC2"/>
    <w:rsid w:val="008D4909"/>
    <w:rsid w:val="008D490D"/>
    <w:rsid w:val="008E1392"/>
    <w:rsid w:val="008E220D"/>
    <w:rsid w:val="008E2679"/>
    <w:rsid w:val="008E426B"/>
    <w:rsid w:val="008F066B"/>
    <w:rsid w:val="008F1539"/>
    <w:rsid w:val="008F180E"/>
    <w:rsid w:val="008F40E5"/>
    <w:rsid w:val="008F45C4"/>
    <w:rsid w:val="008F46BD"/>
    <w:rsid w:val="008F60CD"/>
    <w:rsid w:val="008F770D"/>
    <w:rsid w:val="00900B05"/>
    <w:rsid w:val="009029F1"/>
    <w:rsid w:val="00903B73"/>
    <w:rsid w:val="00903C8C"/>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0EAC"/>
    <w:rsid w:val="00972065"/>
    <w:rsid w:val="0097505A"/>
    <w:rsid w:val="009751B4"/>
    <w:rsid w:val="0097639B"/>
    <w:rsid w:val="009779FA"/>
    <w:rsid w:val="00981A09"/>
    <w:rsid w:val="00984DC8"/>
    <w:rsid w:val="0098556B"/>
    <w:rsid w:val="00986A9E"/>
    <w:rsid w:val="00990006"/>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501"/>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E76B4"/>
    <w:rsid w:val="009E7C13"/>
    <w:rsid w:val="009F001A"/>
    <w:rsid w:val="009F1AF9"/>
    <w:rsid w:val="009F1B83"/>
    <w:rsid w:val="009F220A"/>
    <w:rsid w:val="009F62C1"/>
    <w:rsid w:val="009F7FD0"/>
    <w:rsid w:val="00A00B42"/>
    <w:rsid w:val="00A00FAE"/>
    <w:rsid w:val="00A027F6"/>
    <w:rsid w:val="00A02FDE"/>
    <w:rsid w:val="00A04251"/>
    <w:rsid w:val="00A04A6C"/>
    <w:rsid w:val="00A05EA0"/>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1CEB"/>
    <w:rsid w:val="00A321F0"/>
    <w:rsid w:val="00A32F1F"/>
    <w:rsid w:val="00A33225"/>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5F8"/>
    <w:rsid w:val="00A64B0D"/>
    <w:rsid w:val="00A665E7"/>
    <w:rsid w:val="00A66C62"/>
    <w:rsid w:val="00A67455"/>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308D"/>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44FC"/>
    <w:rsid w:val="00AE4B66"/>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51F9"/>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42A0"/>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B86"/>
    <w:rsid w:val="00B90ECB"/>
    <w:rsid w:val="00B911B3"/>
    <w:rsid w:val="00B9330D"/>
    <w:rsid w:val="00B974C8"/>
    <w:rsid w:val="00BA0BAB"/>
    <w:rsid w:val="00BA1E3D"/>
    <w:rsid w:val="00BA1F23"/>
    <w:rsid w:val="00BA2A08"/>
    <w:rsid w:val="00BA40A9"/>
    <w:rsid w:val="00BA49B2"/>
    <w:rsid w:val="00BA5214"/>
    <w:rsid w:val="00BA61B1"/>
    <w:rsid w:val="00BA7B81"/>
    <w:rsid w:val="00BA7B91"/>
    <w:rsid w:val="00BB280B"/>
    <w:rsid w:val="00BB2A1F"/>
    <w:rsid w:val="00BB3606"/>
    <w:rsid w:val="00BB3A2F"/>
    <w:rsid w:val="00BB42CC"/>
    <w:rsid w:val="00BB4764"/>
    <w:rsid w:val="00BB4D8C"/>
    <w:rsid w:val="00BB553F"/>
    <w:rsid w:val="00BB5E68"/>
    <w:rsid w:val="00BB7255"/>
    <w:rsid w:val="00BC1161"/>
    <w:rsid w:val="00BC21FB"/>
    <w:rsid w:val="00BC27D2"/>
    <w:rsid w:val="00BC3E6A"/>
    <w:rsid w:val="00BC6555"/>
    <w:rsid w:val="00BC69CA"/>
    <w:rsid w:val="00BC73E5"/>
    <w:rsid w:val="00BD2F6E"/>
    <w:rsid w:val="00BD387D"/>
    <w:rsid w:val="00BD3A17"/>
    <w:rsid w:val="00BD50FC"/>
    <w:rsid w:val="00BD512A"/>
    <w:rsid w:val="00BD52A1"/>
    <w:rsid w:val="00BD620D"/>
    <w:rsid w:val="00BD635C"/>
    <w:rsid w:val="00BD701C"/>
    <w:rsid w:val="00BD76EB"/>
    <w:rsid w:val="00BE0342"/>
    <w:rsid w:val="00BE15E9"/>
    <w:rsid w:val="00BE1712"/>
    <w:rsid w:val="00BE1A77"/>
    <w:rsid w:val="00BE257A"/>
    <w:rsid w:val="00BE3DB5"/>
    <w:rsid w:val="00BE5E46"/>
    <w:rsid w:val="00BE6BD9"/>
    <w:rsid w:val="00BE70FA"/>
    <w:rsid w:val="00BE7C61"/>
    <w:rsid w:val="00BF28CE"/>
    <w:rsid w:val="00BF5006"/>
    <w:rsid w:val="00BF5C20"/>
    <w:rsid w:val="00BF66F4"/>
    <w:rsid w:val="00BF7AED"/>
    <w:rsid w:val="00C00748"/>
    <w:rsid w:val="00C014A3"/>
    <w:rsid w:val="00C0184E"/>
    <w:rsid w:val="00C02421"/>
    <w:rsid w:val="00C02538"/>
    <w:rsid w:val="00C04489"/>
    <w:rsid w:val="00C07B96"/>
    <w:rsid w:val="00C106C1"/>
    <w:rsid w:val="00C12A71"/>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44B24"/>
    <w:rsid w:val="00C507BA"/>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45FE"/>
    <w:rsid w:val="00DC6E5A"/>
    <w:rsid w:val="00DD2660"/>
    <w:rsid w:val="00DD26C3"/>
    <w:rsid w:val="00DD404E"/>
    <w:rsid w:val="00DD54D7"/>
    <w:rsid w:val="00DD5A19"/>
    <w:rsid w:val="00DD5E67"/>
    <w:rsid w:val="00DE081B"/>
    <w:rsid w:val="00DE3A09"/>
    <w:rsid w:val="00DE3ABB"/>
    <w:rsid w:val="00DE63AD"/>
    <w:rsid w:val="00DE7014"/>
    <w:rsid w:val="00DE7494"/>
    <w:rsid w:val="00DF4937"/>
    <w:rsid w:val="00DF64AA"/>
    <w:rsid w:val="00E00BBF"/>
    <w:rsid w:val="00E01395"/>
    <w:rsid w:val="00E0208C"/>
    <w:rsid w:val="00E02686"/>
    <w:rsid w:val="00E02D05"/>
    <w:rsid w:val="00E02F3C"/>
    <w:rsid w:val="00E044F2"/>
    <w:rsid w:val="00E07347"/>
    <w:rsid w:val="00E11B6D"/>
    <w:rsid w:val="00E1265D"/>
    <w:rsid w:val="00E127D4"/>
    <w:rsid w:val="00E16413"/>
    <w:rsid w:val="00E16C54"/>
    <w:rsid w:val="00E2226C"/>
    <w:rsid w:val="00E22DFF"/>
    <w:rsid w:val="00E249A2"/>
    <w:rsid w:val="00E26285"/>
    <w:rsid w:val="00E27B4C"/>
    <w:rsid w:val="00E34AD5"/>
    <w:rsid w:val="00E34CDA"/>
    <w:rsid w:val="00E357EC"/>
    <w:rsid w:val="00E37347"/>
    <w:rsid w:val="00E376A8"/>
    <w:rsid w:val="00E37CD3"/>
    <w:rsid w:val="00E43B0C"/>
    <w:rsid w:val="00E44FD6"/>
    <w:rsid w:val="00E47D77"/>
    <w:rsid w:val="00E50001"/>
    <w:rsid w:val="00E5023D"/>
    <w:rsid w:val="00E5074A"/>
    <w:rsid w:val="00E508A8"/>
    <w:rsid w:val="00E51CC2"/>
    <w:rsid w:val="00E52F35"/>
    <w:rsid w:val="00E53824"/>
    <w:rsid w:val="00E54477"/>
    <w:rsid w:val="00E54DDA"/>
    <w:rsid w:val="00E55575"/>
    <w:rsid w:val="00E57846"/>
    <w:rsid w:val="00E60B59"/>
    <w:rsid w:val="00E61162"/>
    <w:rsid w:val="00E61B99"/>
    <w:rsid w:val="00E6336C"/>
    <w:rsid w:val="00E6550D"/>
    <w:rsid w:val="00E65B93"/>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1DD"/>
    <w:rsid w:val="00F16B6C"/>
    <w:rsid w:val="00F17658"/>
    <w:rsid w:val="00F20AEE"/>
    <w:rsid w:val="00F20FBF"/>
    <w:rsid w:val="00F21A60"/>
    <w:rsid w:val="00F26242"/>
    <w:rsid w:val="00F26BC3"/>
    <w:rsid w:val="00F272A7"/>
    <w:rsid w:val="00F27321"/>
    <w:rsid w:val="00F273AB"/>
    <w:rsid w:val="00F30216"/>
    <w:rsid w:val="00F31878"/>
    <w:rsid w:val="00F400DC"/>
    <w:rsid w:val="00F40918"/>
    <w:rsid w:val="00F40F4B"/>
    <w:rsid w:val="00F416AF"/>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67A55"/>
    <w:rsid w:val="00F708CF"/>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40A9"/>
    <w:rsid w:val="00FA4C2A"/>
    <w:rsid w:val="00FA4DDF"/>
    <w:rsid w:val="00FA5CAD"/>
    <w:rsid w:val="00FA6116"/>
    <w:rsid w:val="00FA6CB0"/>
    <w:rsid w:val="00FA6DF2"/>
    <w:rsid w:val="00FB2728"/>
    <w:rsid w:val="00FB5FC1"/>
    <w:rsid w:val="00FB69C9"/>
    <w:rsid w:val="00FC04E2"/>
    <w:rsid w:val="00FC088B"/>
    <w:rsid w:val="00FC2714"/>
    <w:rsid w:val="00FC4484"/>
    <w:rsid w:val="00FC4B29"/>
    <w:rsid w:val="00FC5BDA"/>
    <w:rsid w:val="00FC6539"/>
    <w:rsid w:val="00FD100B"/>
    <w:rsid w:val="00FD1F29"/>
    <w:rsid w:val="00FD367A"/>
    <w:rsid w:val="00FD4AE3"/>
    <w:rsid w:val="00FD5E11"/>
    <w:rsid w:val="00FE01E5"/>
    <w:rsid w:val="00FE17F5"/>
    <w:rsid w:val="00FE1EB2"/>
    <w:rsid w:val="00FE30E6"/>
    <w:rsid w:val="00FE30F4"/>
    <w:rsid w:val="00FE33AF"/>
    <w:rsid w:val="00FE3BAD"/>
    <w:rsid w:val="00FE4A7A"/>
    <w:rsid w:val="00FE5C82"/>
    <w:rsid w:val="00FF09EF"/>
    <w:rsid w:val="00FF1052"/>
    <w:rsid w:val="00FF14B3"/>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262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6B090-238D-45DA-BA7A-3FC519866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476</Words>
  <Characters>2623</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6</cp:revision>
  <cp:lastPrinted>2019-01-14T09:08:00Z</cp:lastPrinted>
  <dcterms:created xsi:type="dcterms:W3CDTF">2019-02-25T08:49:00Z</dcterms:created>
  <dcterms:modified xsi:type="dcterms:W3CDTF">2019-02-25T09:39:00Z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