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109" w:rsidRPr="00637D32" w:rsidRDefault="00D43DAB" w:rsidP="00D43DAB">
      <w:pPr>
        <w:jc w:val="both"/>
        <w:rPr>
          <w:rFonts w:ascii="Arial" w:hAnsi="Arial" w:cs="Arial"/>
          <w:b/>
          <w:color w:val="00B050"/>
          <w:lang w:val="en-US"/>
        </w:rPr>
      </w:pPr>
      <w:bookmarkStart w:id="0" w:name="_Hlk505587978"/>
      <w:bookmarkStart w:id="1" w:name="_GoBack"/>
      <w:bookmarkEnd w:id="1"/>
      <w:r w:rsidRPr="00637D32">
        <w:rPr>
          <w:rFonts w:ascii="Arial" w:hAnsi="Arial" w:cs="Arial"/>
          <w:b/>
          <w:bCs/>
          <w:sz w:val="36"/>
          <w:szCs w:val="36"/>
        </w:rPr>
        <w:t xml:space="preserve">     </w:t>
      </w:r>
      <w:r w:rsidR="00292AF0" w:rsidRPr="00637D32">
        <w:rPr>
          <w:rFonts w:ascii="Arial" w:hAnsi="Arial" w:cs="Arial"/>
          <w:b/>
          <w:bCs/>
          <w:sz w:val="36"/>
          <w:szCs w:val="36"/>
        </w:rPr>
        <w:t xml:space="preserve">                       </w:t>
      </w:r>
      <w:r w:rsidRPr="00637D32">
        <w:rPr>
          <w:rFonts w:ascii="Arial" w:hAnsi="Arial" w:cs="Arial"/>
          <w:b/>
          <w:bCs/>
          <w:sz w:val="36"/>
          <w:szCs w:val="36"/>
        </w:rPr>
        <w:t xml:space="preserve"> </w:t>
      </w:r>
      <w:r w:rsidR="00FA4DDF" w:rsidRPr="00637D32">
        <w:rPr>
          <w:rFonts w:ascii="Arial" w:hAnsi="Arial" w:cs="Arial"/>
          <w:b/>
          <w:bCs/>
          <w:sz w:val="36"/>
          <w:szCs w:val="36"/>
        </w:rPr>
        <w:t xml:space="preserve">       </w:t>
      </w:r>
      <w:r w:rsidRPr="00637D32">
        <w:rPr>
          <w:rFonts w:ascii="Arial" w:hAnsi="Arial" w:cs="Arial"/>
          <w:b/>
          <w:bCs/>
          <w:sz w:val="36"/>
          <w:szCs w:val="36"/>
          <w:u w:val="single"/>
          <w:lang w:val="en-US"/>
        </w:rPr>
        <w:t xml:space="preserve">10 ans UK </w:t>
      </w:r>
    </w:p>
    <w:p w:rsidR="006E6472" w:rsidRPr="00637D32" w:rsidRDefault="006E6472" w:rsidP="006E6472">
      <w:pPr>
        <w:jc w:val="both"/>
        <w:rPr>
          <w:rFonts w:ascii="Arial" w:hAnsi="Arial" w:cs="Arial"/>
          <w:b/>
          <w:sz w:val="28"/>
          <w:szCs w:val="28"/>
          <w:u w:val="single"/>
          <w:lang w:val="en-US"/>
        </w:rPr>
      </w:pPr>
      <w:r w:rsidRPr="00637D32">
        <w:rPr>
          <w:rFonts w:ascii="Arial" w:hAnsi="Arial" w:cs="Arial"/>
          <w:b/>
          <w:sz w:val="28"/>
          <w:szCs w:val="28"/>
          <w:u w:val="single"/>
          <w:lang w:val="en-US"/>
        </w:rPr>
        <w:t>Monthly</w:t>
      </w:r>
    </w:p>
    <w:p w:rsidR="006E6472" w:rsidRPr="00637D32" w:rsidRDefault="00DA71C8" w:rsidP="00B65AF1">
      <w:pPr>
        <w:ind w:left="-283"/>
        <w:jc w:val="both"/>
        <w:rPr>
          <w:rFonts w:ascii="Arial" w:hAnsi="Arial" w:cs="Arial"/>
          <w:b/>
          <w:bCs/>
          <w:lang w:val="en-US"/>
        </w:rPr>
      </w:pPr>
      <w:r w:rsidRPr="00DA71C8">
        <w:rPr>
          <w:rFonts w:ascii="Arial" w:hAnsi="Arial" w:cs="Arial"/>
          <w:b/>
          <w:bCs/>
          <w:noProof/>
        </w:rPr>
        <w:drawing>
          <wp:inline distT="0" distB="0" distL="0" distR="0">
            <wp:extent cx="6645330" cy="4200525"/>
            <wp:effectExtent l="0" t="0" r="3175" b="0"/>
            <wp:docPr id="8" name="Image 8" descr="C:\Users\EPBFIA~1\AppData\Local\Temp\Bloomberg\temp\bfm28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28A.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735" cy="4201413"/>
                    </a:xfrm>
                    <a:prstGeom prst="rect">
                      <a:avLst/>
                    </a:prstGeom>
                    <a:noFill/>
                    <a:ln>
                      <a:noFill/>
                    </a:ln>
                  </pic:spPr>
                </pic:pic>
              </a:graphicData>
            </a:graphic>
          </wp:inline>
        </w:drawing>
      </w:r>
    </w:p>
    <w:p w:rsidR="00D43DAB" w:rsidRPr="00637D32" w:rsidRDefault="00D43DAB" w:rsidP="00D43DAB">
      <w:pPr>
        <w:jc w:val="both"/>
        <w:rPr>
          <w:rFonts w:ascii="Arial" w:hAnsi="Arial" w:cs="Arial"/>
          <w:b/>
          <w:bCs/>
          <w:sz w:val="28"/>
          <w:szCs w:val="28"/>
          <w:u w:val="single"/>
          <w:lang w:val="en-US"/>
        </w:rPr>
      </w:pPr>
      <w:r w:rsidRPr="00637D32">
        <w:rPr>
          <w:rFonts w:ascii="Arial" w:hAnsi="Arial" w:cs="Arial"/>
          <w:b/>
          <w:bCs/>
          <w:sz w:val="28"/>
          <w:szCs w:val="28"/>
          <w:u w:val="single"/>
          <w:lang w:val="en-US"/>
        </w:rPr>
        <w:t>Weekly</w:t>
      </w:r>
    </w:p>
    <w:p w:rsidR="00D43DAB" w:rsidRPr="00637D32" w:rsidRDefault="00DA71C8" w:rsidP="00B65AF1">
      <w:pPr>
        <w:tabs>
          <w:tab w:val="left" w:pos="4395"/>
        </w:tabs>
        <w:ind w:left="-283"/>
        <w:jc w:val="both"/>
        <w:rPr>
          <w:rFonts w:ascii="Arial" w:hAnsi="Arial" w:cs="Arial"/>
          <w:b/>
          <w:bCs/>
          <w:sz w:val="28"/>
          <w:szCs w:val="28"/>
          <w:u w:val="single"/>
          <w:lang w:val="en-US"/>
        </w:rPr>
      </w:pPr>
      <w:r w:rsidRPr="00DA71C8">
        <w:rPr>
          <w:rFonts w:ascii="Arial" w:hAnsi="Arial" w:cs="Arial"/>
          <w:b/>
          <w:bCs/>
          <w:noProof/>
          <w:sz w:val="28"/>
          <w:szCs w:val="28"/>
          <w:u w:val="single"/>
        </w:rPr>
        <w:drawing>
          <wp:inline distT="0" distB="0" distL="0" distR="0">
            <wp:extent cx="6645275" cy="4410075"/>
            <wp:effectExtent l="0" t="0" r="3175" b="9525"/>
            <wp:docPr id="9" name="Image 9" descr="C:\Users\EPBFIA~1\AppData\Local\Temp\Bloomberg\temp\bfm655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655C.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352" cy="4410790"/>
                    </a:xfrm>
                    <a:prstGeom prst="rect">
                      <a:avLst/>
                    </a:prstGeom>
                    <a:noFill/>
                    <a:ln>
                      <a:noFill/>
                    </a:ln>
                  </pic:spPr>
                </pic:pic>
              </a:graphicData>
            </a:graphic>
          </wp:inline>
        </w:drawing>
      </w:r>
    </w:p>
    <w:p w:rsidR="006E6472" w:rsidRPr="008D238B" w:rsidRDefault="006E6472" w:rsidP="006E6472">
      <w:pPr>
        <w:jc w:val="both"/>
        <w:rPr>
          <w:rFonts w:ascii="Arial" w:hAnsi="Arial" w:cs="Arial"/>
          <w:b/>
          <w:bCs/>
          <w:sz w:val="28"/>
          <w:szCs w:val="28"/>
          <w:u w:val="single"/>
          <w:lang w:val="en-US"/>
        </w:rPr>
      </w:pPr>
      <w:r w:rsidRPr="008D238B">
        <w:rPr>
          <w:rFonts w:ascii="Arial" w:hAnsi="Arial" w:cs="Arial"/>
          <w:b/>
          <w:bCs/>
          <w:sz w:val="28"/>
          <w:szCs w:val="28"/>
          <w:u w:val="single"/>
          <w:lang w:val="en-US"/>
        </w:rPr>
        <w:lastRenderedPageBreak/>
        <w:t xml:space="preserve">Daily </w:t>
      </w:r>
    </w:p>
    <w:p w:rsidR="00F5086A" w:rsidRPr="008D238B" w:rsidRDefault="00DA71C8" w:rsidP="006E6472">
      <w:pPr>
        <w:jc w:val="both"/>
        <w:rPr>
          <w:rFonts w:ascii="Arial" w:hAnsi="Arial" w:cs="Arial"/>
          <w:b/>
          <w:bCs/>
          <w:sz w:val="28"/>
          <w:szCs w:val="28"/>
          <w:u w:val="single"/>
          <w:lang w:val="en-US"/>
        </w:rPr>
      </w:pPr>
      <w:r w:rsidRPr="00DA71C8">
        <w:rPr>
          <w:rFonts w:ascii="Arial" w:hAnsi="Arial" w:cs="Arial"/>
          <w:b/>
          <w:bCs/>
          <w:noProof/>
          <w:sz w:val="28"/>
          <w:szCs w:val="28"/>
          <w:u w:val="single"/>
        </w:rPr>
        <w:drawing>
          <wp:inline distT="0" distB="0" distL="0" distR="0">
            <wp:extent cx="6645275" cy="3952875"/>
            <wp:effectExtent l="0" t="0" r="3175" b="9525"/>
            <wp:docPr id="10" name="Image 10" descr="C:\Users\EPBFIA~1\AppData\Local\Temp\Bloomberg\temp\bfm68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68E.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406" cy="3953548"/>
                    </a:xfrm>
                    <a:prstGeom prst="rect">
                      <a:avLst/>
                    </a:prstGeom>
                    <a:noFill/>
                    <a:ln>
                      <a:noFill/>
                    </a:ln>
                  </pic:spPr>
                </pic:pic>
              </a:graphicData>
            </a:graphic>
          </wp:inline>
        </w:drawing>
      </w:r>
    </w:p>
    <w:p w:rsidR="001944AD" w:rsidRPr="008D238B" w:rsidRDefault="001944AD" w:rsidP="006E6472">
      <w:pPr>
        <w:jc w:val="both"/>
        <w:rPr>
          <w:rFonts w:ascii="Arial" w:hAnsi="Arial" w:cs="Arial"/>
          <w:b/>
          <w:bCs/>
          <w:sz w:val="28"/>
          <w:szCs w:val="28"/>
          <w:u w:val="single"/>
          <w:lang w:val="en-US"/>
        </w:rPr>
      </w:pPr>
    </w:p>
    <w:p w:rsidR="00C732B7" w:rsidRDefault="005530C2" w:rsidP="007A24CA">
      <w:pPr>
        <w:jc w:val="both"/>
        <w:rPr>
          <w:rFonts w:ascii="Tahoma" w:hAnsi="Tahoma" w:cs="Tahoma"/>
          <w:bCs/>
        </w:rPr>
      </w:pPr>
      <w:r w:rsidRPr="00C86AB6">
        <w:rPr>
          <w:rFonts w:ascii="Arial" w:hAnsi="Arial" w:cs="Arial"/>
          <w:b/>
          <w:bCs/>
        </w:rPr>
        <w:t>M :</w:t>
      </w:r>
      <w:r w:rsidRPr="00C86AB6">
        <w:rPr>
          <w:rFonts w:ascii="Tahoma" w:hAnsi="Tahoma" w:cs="Tahoma"/>
          <w:bCs/>
        </w:rPr>
        <w:t xml:space="preserve"> </w:t>
      </w:r>
      <w:r w:rsidR="004468CC">
        <w:rPr>
          <w:rFonts w:ascii="Tahoma" w:hAnsi="Tahoma" w:cs="Tahoma"/>
          <w:bCs/>
        </w:rPr>
        <w:t xml:space="preserve">Le 10 ans UK est revenu </w:t>
      </w:r>
      <w:r w:rsidR="00AB1287">
        <w:rPr>
          <w:rFonts w:ascii="Tahoma" w:hAnsi="Tahoma" w:cs="Tahoma"/>
          <w:bCs/>
        </w:rPr>
        <w:t>au-dessus</w:t>
      </w:r>
      <w:r w:rsidR="004468CC">
        <w:rPr>
          <w:rFonts w:ascii="Tahoma" w:hAnsi="Tahoma" w:cs="Tahoma"/>
          <w:bCs/>
        </w:rPr>
        <w:t xml:space="preserve"> de la borne basse de son nuage de long terme de 1.18. </w:t>
      </w:r>
      <w:r w:rsidR="00F94F7F">
        <w:rPr>
          <w:rFonts w:ascii="Tahoma" w:hAnsi="Tahoma" w:cs="Tahoma"/>
          <w:bCs/>
        </w:rPr>
        <w:t>C</w:t>
      </w:r>
      <w:r w:rsidR="004468CC">
        <w:rPr>
          <w:rFonts w:ascii="Tahoma" w:hAnsi="Tahoma" w:cs="Tahoma"/>
          <w:bCs/>
        </w:rPr>
        <w:t xml:space="preserve">e point servira de support au cours du mois de mars. La baisse sera exclue tant que cette SSA ne sera pas cassée. </w:t>
      </w:r>
      <w:r w:rsidR="00AB1287">
        <w:rPr>
          <w:rFonts w:ascii="Tahoma" w:hAnsi="Tahoma" w:cs="Tahoma"/>
          <w:bCs/>
        </w:rPr>
        <w:t>Au-dessus</w:t>
      </w:r>
      <w:r w:rsidR="004468CC">
        <w:rPr>
          <w:rFonts w:ascii="Tahoma" w:hAnsi="Tahoma" w:cs="Tahoma"/>
          <w:bCs/>
        </w:rPr>
        <w:t xml:space="preserve"> de 1.18 les résistances </w:t>
      </w:r>
      <w:r w:rsidR="00AB1287">
        <w:rPr>
          <w:rFonts w:ascii="Tahoma" w:hAnsi="Tahoma" w:cs="Tahoma"/>
          <w:bCs/>
        </w:rPr>
        <w:t>d</w:t>
      </w:r>
      <w:r w:rsidR="004468CC">
        <w:rPr>
          <w:rFonts w:ascii="Tahoma" w:hAnsi="Tahoma" w:cs="Tahoma"/>
          <w:bCs/>
        </w:rPr>
        <w:t>e long terme seront matérialisée par un plat de KS sur 1.33 suivi d’un plat de TS sur 1.43.</w:t>
      </w:r>
    </w:p>
    <w:p w:rsidR="001C1CCD" w:rsidRPr="00C86AB6" w:rsidRDefault="001C1CCD" w:rsidP="007A24CA">
      <w:pPr>
        <w:jc w:val="both"/>
        <w:rPr>
          <w:rFonts w:ascii="Tahoma" w:hAnsi="Tahoma" w:cs="Tahoma"/>
          <w:bCs/>
        </w:rPr>
      </w:pPr>
      <w:r>
        <w:rPr>
          <w:rFonts w:ascii="Tahoma" w:hAnsi="Tahoma" w:cs="Tahoma"/>
          <w:bCs/>
        </w:rPr>
        <w:t xml:space="preserve">Quoi qu’il en soit, le retour du taux </w:t>
      </w:r>
      <w:r w:rsidR="00AB1287">
        <w:rPr>
          <w:rFonts w:ascii="Tahoma" w:hAnsi="Tahoma" w:cs="Tahoma"/>
          <w:bCs/>
        </w:rPr>
        <w:t>au-dessus</w:t>
      </w:r>
      <w:r>
        <w:rPr>
          <w:rFonts w:ascii="Tahoma" w:hAnsi="Tahoma" w:cs="Tahoma"/>
          <w:bCs/>
        </w:rPr>
        <w:t xml:space="preserve"> de 1.18 a replacé le marché dans sa zone d’équilibre de long terme dont la borne haute se situe sur 1.79.</w:t>
      </w:r>
    </w:p>
    <w:p w:rsidR="00206439" w:rsidRPr="00C86AB6" w:rsidRDefault="00206439" w:rsidP="00955F8B">
      <w:pPr>
        <w:jc w:val="both"/>
        <w:rPr>
          <w:rFonts w:ascii="Tahoma" w:hAnsi="Tahoma" w:cs="Tahoma"/>
          <w:bCs/>
        </w:rPr>
      </w:pPr>
    </w:p>
    <w:p w:rsidR="00C367EA" w:rsidRDefault="00134724" w:rsidP="00E53ADF">
      <w:pPr>
        <w:jc w:val="both"/>
        <w:rPr>
          <w:rFonts w:ascii="Arial" w:hAnsi="Arial" w:cs="Arial"/>
          <w:bCs/>
        </w:rPr>
      </w:pPr>
      <w:r w:rsidRPr="00654B9A">
        <w:rPr>
          <w:rFonts w:ascii="Arial" w:hAnsi="Arial" w:cs="Arial"/>
          <w:b/>
          <w:bCs/>
        </w:rPr>
        <w:t xml:space="preserve">W : </w:t>
      </w:r>
      <w:r w:rsidR="00A561BA">
        <w:rPr>
          <w:rFonts w:ascii="Arial" w:hAnsi="Arial" w:cs="Arial"/>
          <w:bCs/>
        </w:rPr>
        <w:t xml:space="preserve">Comme je l’ai déjà indiqué au cours des précédentes analyses, le plat de SSB nous indique que les mouvements du marché ne sont que de la volatilité. Le rebond du 10 ans UK s’inscrit dans ce </w:t>
      </w:r>
      <w:r w:rsidR="003F328C">
        <w:rPr>
          <w:rFonts w:ascii="Arial" w:hAnsi="Arial" w:cs="Arial"/>
          <w:bCs/>
        </w:rPr>
        <w:t>c</w:t>
      </w:r>
      <w:r w:rsidR="00A561BA">
        <w:rPr>
          <w:rFonts w:ascii="Arial" w:hAnsi="Arial" w:cs="Arial"/>
          <w:bCs/>
        </w:rPr>
        <w:t xml:space="preserve">ontexte. </w:t>
      </w:r>
    </w:p>
    <w:p w:rsidR="00A561BA" w:rsidRDefault="00A561BA" w:rsidP="00E53ADF">
      <w:pPr>
        <w:jc w:val="both"/>
        <w:rPr>
          <w:rFonts w:ascii="Arial" w:hAnsi="Arial" w:cs="Arial"/>
          <w:bCs/>
        </w:rPr>
      </w:pPr>
      <w:r>
        <w:rPr>
          <w:rFonts w:ascii="Arial" w:hAnsi="Arial" w:cs="Arial"/>
          <w:bCs/>
        </w:rPr>
        <w:t xml:space="preserve">Sous 1.37, le plat de TS devrait se poursuivre sur le niveau actuel de 1.24. En maintien du marché </w:t>
      </w:r>
      <w:r w:rsidR="00AB1287">
        <w:rPr>
          <w:rFonts w:ascii="Arial" w:hAnsi="Arial" w:cs="Arial"/>
          <w:bCs/>
        </w:rPr>
        <w:t>au-dessus</w:t>
      </w:r>
      <w:r>
        <w:rPr>
          <w:rFonts w:ascii="Arial" w:hAnsi="Arial" w:cs="Arial"/>
          <w:bCs/>
        </w:rPr>
        <w:t xml:space="preserve"> de la TS, la hausse sera envisagée sur la première résistance de 1.30 et en rupture sur  le plat de KS et de SSB de 1.42/1.43.</w:t>
      </w:r>
    </w:p>
    <w:p w:rsidR="00EE6477" w:rsidRPr="00654B9A" w:rsidRDefault="00EE6477" w:rsidP="007A24CA">
      <w:pPr>
        <w:jc w:val="both"/>
        <w:rPr>
          <w:rFonts w:ascii="Tahoma" w:hAnsi="Tahoma" w:cs="Tahoma"/>
          <w:bCs/>
        </w:rPr>
      </w:pPr>
    </w:p>
    <w:p w:rsidR="00CC1897" w:rsidRDefault="00591EF8" w:rsidP="000F7FF2">
      <w:pPr>
        <w:jc w:val="both"/>
        <w:rPr>
          <w:rFonts w:ascii="Arial" w:hAnsi="Arial" w:cs="Arial"/>
          <w:bCs/>
        </w:rPr>
      </w:pPr>
      <w:r>
        <w:rPr>
          <w:rFonts w:ascii="Arial" w:hAnsi="Arial" w:cs="Arial"/>
          <w:b/>
          <w:bCs/>
        </w:rPr>
        <w:t>D :</w:t>
      </w:r>
      <w:r w:rsidR="00D13CC0">
        <w:rPr>
          <w:rFonts w:ascii="Arial" w:hAnsi="Arial" w:cs="Arial"/>
          <w:bCs/>
        </w:rPr>
        <w:t xml:space="preserve"> Le </w:t>
      </w:r>
      <w:r w:rsidR="001944AD">
        <w:rPr>
          <w:rFonts w:ascii="Arial" w:hAnsi="Arial" w:cs="Arial"/>
          <w:bCs/>
        </w:rPr>
        <w:t xml:space="preserve">rebond du marché a replacé le taux dans son nuage. </w:t>
      </w:r>
      <w:r w:rsidR="00CC1897">
        <w:rPr>
          <w:rFonts w:ascii="Arial" w:hAnsi="Arial" w:cs="Arial"/>
          <w:bCs/>
        </w:rPr>
        <w:t xml:space="preserve">Ce dernier dessinera un support sur 1.30 au cours des prochains jours. </w:t>
      </w:r>
      <w:r w:rsidR="00AB1287">
        <w:rPr>
          <w:rFonts w:ascii="Arial" w:hAnsi="Arial" w:cs="Arial"/>
          <w:bCs/>
        </w:rPr>
        <w:t>Au-dessus</w:t>
      </w:r>
      <w:r w:rsidR="00CC1897">
        <w:rPr>
          <w:rFonts w:ascii="Arial" w:hAnsi="Arial" w:cs="Arial"/>
          <w:bCs/>
        </w:rPr>
        <w:t xml:space="preserve"> de 1.30, le taux pourra continuer sa progression sur les objectifs de moyen et de long terme.</w:t>
      </w:r>
    </w:p>
    <w:p w:rsidR="00CC1897" w:rsidRDefault="00CC1897" w:rsidP="000F7FF2">
      <w:pPr>
        <w:jc w:val="both"/>
        <w:rPr>
          <w:rFonts w:ascii="Arial" w:hAnsi="Arial" w:cs="Arial"/>
          <w:bCs/>
        </w:rPr>
      </w:pPr>
      <w:r>
        <w:rPr>
          <w:rFonts w:ascii="Arial" w:hAnsi="Arial" w:cs="Arial"/>
          <w:bCs/>
        </w:rPr>
        <w:t xml:space="preserve">Au cours de la semaine et sans nouveaux hauts, la KS s’aplatira sur 1.23 pour servir de support et renforcer la TS de l’unité de temps </w:t>
      </w:r>
      <w:r w:rsidR="00AB1287">
        <w:rPr>
          <w:rFonts w:ascii="Arial" w:hAnsi="Arial" w:cs="Arial"/>
          <w:bCs/>
        </w:rPr>
        <w:t>supérieure</w:t>
      </w:r>
      <w:r>
        <w:rPr>
          <w:rFonts w:ascii="Arial" w:hAnsi="Arial" w:cs="Arial"/>
          <w:bCs/>
        </w:rPr>
        <w:t>.</w:t>
      </w:r>
    </w:p>
    <w:p w:rsidR="00365852" w:rsidRDefault="00CC1897" w:rsidP="000F7FF2">
      <w:pPr>
        <w:jc w:val="both"/>
        <w:rPr>
          <w:rFonts w:ascii="Arial" w:hAnsi="Arial" w:cs="Arial"/>
          <w:bCs/>
        </w:rPr>
      </w:pPr>
      <w:r>
        <w:rPr>
          <w:rFonts w:ascii="Arial" w:hAnsi="Arial" w:cs="Arial"/>
          <w:bCs/>
        </w:rPr>
        <w:t xml:space="preserve">Pas de tendance haussière avant le </w:t>
      </w:r>
      <w:r w:rsidR="00AB1287">
        <w:rPr>
          <w:rFonts w:ascii="Arial" w:hAnsi="Arial" w:cs="Arial"/>
          <w:bCs/>
        </w:rPr>
        <w:t>dépassement</w:t>
      </w:r>
      <w:r>
        <w:rPr>
          <w:rFonts w:ascii="Arial" w:hAnsi="Arial" w:cs="Arial"/>
          <w:bCs/>
        </w:rPr>
        <w:t xml:space="preserve"> de 1.37.                                                                                                                                                                                                                                                                                                                                                                                                                                                                                                                                                                                                                                                                                                                                                                                                            </w:t>
      </w:r>
    </w:p>
    <w:p w:rsidR="00A94978" w:rsidRDefault="00A94978" w:rsidP="005530C2">
      <w:pPr>
        <w:jc w:val="both"/>
        <w:rPr>
          <w:rFonts w:ascii="Arial" w:hAnsi="Arial" w:cs="Arial"/>
          <w:bCs/>
        </w:rPr>
      </w:pPr>
    </w:p>
    <w:p w:rsidR="00F32071" w:rsidRPr="00C955D5" w:rsidRDefault="00F32071" w:rsidP="005530C2">
      <w:pPr>
        <w:jc w:val="both"/>
        <w:rPr>
          <w:rFonts w:ascii="Arial" w:hAnsi="Arial" w:cs="Arial"/>
          <w:color w:val="FF0000"/>
        </w:rPr>
      </w:pPr>
    </w:p>
    <w:p w:rsidR="00AB2ED4" w:rsidRDefault="005530C2" w:rsidP="007A24CA">
      <w:pPr>
        <w:jc w:val="both"/>
        <w:rPr>
          <w:rFonts w:ascii="Arial" w:hAnsi="Arial" w:cs="Arial"/>
          <w:b/>
          <w:color w:val="00B050"/>
        </w:rPr>
      </w:pPr>
      <w:r w:rsidRPr="00D9025E">
        <w:rPr>
          <w:rFonts w:ascii="Arial" w:hAnsi="Arial" w:cs="Arial"/>
          <w:b/>
          <w:color w:val="00B050"/>
          <w:u w:val="single"/>
        </w:rPr>
        <w:t>HEBDOMADAIRE</w:t>
      </w:r>
      <w:r w:rsidR="00B124E0" w:rsidRPr="00D9025E">
        <w:rPr>
          <w:rFonts w:ascii="Arial" w:hAnsi="Arial" w:cs="Arial"/>
          <w:b/>
          <w:color w:val="00B050"/>
        </w:rPr>
        <w:t xml:space="preserve"> : </w:t>
      </w:r>
      <w:r w:rsidR="00C50DC7" w:rsidRPr="00D9025E">
        <w:rPr>
          <w:rFonts w:ascii="Arial" w:hAnsi="Arial" w:cs="Arial"/>
          <w:b/>
          <w:color w:val="00B050"/>
        </w:rPr>
        <w:t xml:space="preserve">Le </w:t>
      </w:r>
      <w:r w:rsidR="00F32071">
        <w:rPr>
          <w:rFonts w:ascii="Arial" w:hAnsi="Arial" w:cs="Arial"/>
          <w:b/>
          <w:color w:val="00B050"/>
        </w:rPr>
        <w:t xml:space="preserve">10 ans a rebondi pour </w:t>
      </w:r>
      <w:r w:rsidR="003F328C">
        <w:rPr>
          <w:rFonts w:ascii="Arial" w:hAnsi="Arial" w:cs="Arial"/>
          <w:b/>
          <w:color w:val="00B050"/>
        </w:rPr>
        <w:t>s’établir sur les niveaux de 1.30</w:t>
      </w:r>
      <w:r w:rsidR="00F32071">
        <w:rPr>
          <w:rFonts w:ascii="Arial" w:hAnsi="Arial" w:cs="Arial"/>
          <w:b/>
          <w:color w:val="00B050"/>
        </w:rPr>
        <w:t xml:space="preserve">. La tendance </w:t>
      </w:r>
      <w:r w:rsidR="003F328C">
        <w:rPr>
          <w:rFonts w:ascii="Arial" w:hAnsi="Arial" w:cs="Arial"/>
          <w:b/>
          <w:color w:val="00B050"/>
        </w:rPr>
        <w:t xml:space="preserve">de court terme </w:t>
      </w:r>
      <w:r w:rsidR="00F32071">
        <w:rPr>
          <w:rFonts w:ascii="Arial" w:hAnsi="Arial" w:cs="Arial"/>
          <w:b/>
          <w:color w:val="00B050"/>
        </w:rPr>
        <w:t>rep</w:t>
      </w:r>
      <w:r w:rsidR="003F328C">
        <w:rPr>
          <w:rFonts w:ascii="Arial" w:hAnsi="Arial" w:cs="Arial"/>
          <w:b/>
          <w:color w:val="00B050"/>
        </w:rPr>
        <w:t>artira à la hausse en dépassement de 1.37. Elle aura pour cible le haut récent de 1.75. Cet objectif sera envisagé en cassure des résistances de moyen terme.</w:t>
      </w:r>
    </w:p>
    <w:p w:rsidR="003F328C" w:rsidRPr="00D9025E" w:rsidRDefault="003F328C" w:rsidP="007A24CA">
      <w:pPr>
        <w:jc w:val="both"/>
        <w:rPr>
          <w:rFonts w:ascii="Arial" w:hAnsi="Arial" w:cs="Arial"/>
          <w:b/>
          <w:color w:val="00B050"/>
        </w:rPr>
      </w:pPr>
      <w:r>
        <w:rPr>
          <w:rFonts w:ascii="Arial" w:hAnsi="Arial" w:cs="Arial"/>
          <w:b/>
          <w:color w:val="00B050"/>
        </w:rPr>
        <w:t>Une remise en question de la poursuite du rebond haussier passera par un retour du taux sous 1.24.</w:t>
      </w:r>
    </w:p>
    <w:p w:rsidR="00427A15" w:rsidRPr="00A94978" w:rsidRDefault="00427A15" w:rsidP="00BE257A">
      <w:pPr>
        <w:jc w:val="both"/>
        <w:rPr>
          <w:rFonts w:ascii="Arial" w:hAnsi="Arial" w:cs="Arial"/>
          <w:b/>
          <w:color w:val="00B050"/>
        </w:rPr>
      </w:pPr>
    </w:p>
    <w:p w:rsidR="00F72829" w:rsidRPr="008D238B" w:rsidRDefault="00F72829" w:rsidP="00BE257A">
      <w:pPr>
        <w:jc w:val="both"/>
        <w:rPr>
          <w:rFonts w:ascii="Arial" w:hAnsi="Arial" w:cs="Arial"/>
          <w:b/>
          <w:bCs/>
          <w:sz w:val="36"/>
          <w:szCs w:val="36"/>
          <w:u w:val="single"/>
          <w:lang w:val="en-US"/>
        </w:rPr>
      </w:pPr>
      <w:r w:rsidRPr="00B43264">
        <w:rPr>
          <w:rFonts w:ascii="Arial" w:hAnsi="Arial" w:cs="Arial"/>
          <w:b/>
          <w:bCs/>
          <w:color w:val="FF0000"/>
          <w:sz w:val="28"/>
          <w:szCs w:val="28"/>
        </w:rPr>
        <w:lastRenderedPageBreak/>
        <w:t xml:space="preserve">                         </w:t>
      </w:r>
      <w:r w:rsidR="006D7DCD" w:rsidRPr="00B43264">
        <w:rPr>
          <w:rFonts w:ascii="Arial" w:hAnsi="Arial" w:cs="Arial"/>
          <w:b/>
          <w:bCs/>
          <w:color w:val="FF0000"/>
          <w:sz w:val="28"/>
          <w:szCs w:val="28"/>
        </w:rPr>
        <w:t xml:space="preserve">         </w:t>
      </w:r>
      <w:r w:rsidR="00730480" w:rsidRPr="00B43264">
        <w:rPr>
          <w:rFonts w:ascii="Arial" w:hAnsi="Arial" w:cs="Arial"/>
          <w:bCs/>
          <w:color w:val="FF0000"/>
          <w:sz w:val="28"/>
          <w:szCs w:val="28"/>
        </w:rPr>
        <w:t xml:space="preserve">            </w:t>
      </w:r>
      <w:r w:rsidRPr="008D238B">
        <w:rPr>
          <w:rFonts w:ascii="Arial" w:hAnsi="Arial" w:cs="Arial"/>
          <w:b/>
          <w:bCs/>
          <w:sz w:val="36"/>
          <w:szCs w:val="36"/>
          <w:u w:val="single"/>
          <w:lang w:val="en-US"/>
        </w:rPr>
        <w:t xml:space="preserve">10 ans </w:t>
      </w:r>
      <w:r w:rsidR="00A2391D" w:rsidRPr="008D238B">
        <w:rPr>
          <w:rFonts w:ascii="Arial" w:hAnsi="Arial" w:cs="Arial"/>
          <w:b/>
          <w:bCs/>
          <w:sz w:val="36"/>
          <w:szCs w:val="36"/>
          <w:u w:val="single"/>
          <w:lang w:val="en-US"/>
        </w:rPr>
        <w:t>JP</w:t>
      </w:r>
      <w:r w:rsidRPr="008D238B">
        <w:rPr>
          <w:rFonts w:ascii="Arial" w:hAnsi="Arial" w:cs="Arial"/>
          <w:b/>
          <w:bCs/>
          <w:sz w:val="36"/>
          <w:szCs w:val="36"/>
          <w:u w:val="single"/>
          <w:lang w:val="en-US"/>
        </w:rPr>
        <w:t xml:space="preserve"> </w:t>
      </w:r>
      <w:r w:rsidRPr="008D238B">
        <w:rPr>
          <w:rFonts w:ascii="Arial" w:hAnsi="Arial" w:cs="Arial"/>
          <w:b/>
          <w:i/>
          <w:lang w:val="en-US"/>
        </w:rPr>
        <w:t xml:space="preserve">                             </w:t>
      </w:r>
    </w:p>
    <w:p w:rsidR="008F1539" w:rsidRPr="008D238B" w:rsidRDefault="008F1539" w:rsidP="008F1539">
      <w:pPr>
        <w:jc w:val="both"/>
        <w:rPr>
          <w:rFonts w:ascii="Arial" w:hAnsi="Arial" w:cs="Arial"/>
          <w:b/>
          <w:bCs/>
          <w:sz w:val="28"/>
          <w:szCs w:val="28"/>
          <w:u w:val="single"/>
          <w:lang w:val="en-US"/>
        </w:rPr>
      </w:pPr>
      <w:r w:rsidRPr="008D238B">
        <w:rPr>
          <w:rFonts w:ascii="Arial" w:hAnsi="Arial" w:cs="Arial"/>
          <w:b/>
          <w:bCs/>
          <w:sz w:val="28"/>
          <w:szCs w:val="28"/>
          <w:u w:val="single"/>
          <w:lang w:val="en-US"/>
        </w:rPr>
        <w:t>Monthly</w:t>
      </w:r>
    </w:p>
    <w:p w:rsidR="00F72829" w:rsidRPr="008D238B" w:rsidRDefault="00D7545F" w:rsidP="00B65AF1">
      <w:pPr>
        <w:ind w:left="-283"/>
        <w:jc w:val="both"/>
        <w:rPr>
          <w:rFonts w:ascii="Arial" w:hAnsi="Arial" w:cs="Arial"/>
          <w:b/>
          <w:bCs/>
          <w:color w:val="FF0000"/>
          <w:sz w:val="28"/>
          <w:szCs w:val="28"/>
          <w:u w:val="single"/>
          <w:lang w:val="en-US"/>
        </w:rPr>
      </w:pPr>
      <w:r w:rsidRPr="00D7545F">
        <w:rPr>
          <w:rFonts w:ascii="Arial" w:hAnsi="Arial" w:cs="Arial"/>
          <w:b/>
          <w:bCs/>
          <w:noProof/>
          <w:color w:val="FF0000"/>
          <w:sz w:val="28"/>
          <w:szCs w:val="28"/>
          <w:u w:val="single"/>
        </w:rPr>
        <w:drawing>
          <wp:inline distT="0" distB="0" distL="0" distR="0">
            <wp:extent cx="6645330" cy="4219575"/>
            <wp:effectExtent l="0" t="0" r="3175" b="0"/>
            <wp:docPr id="11" name="Image 11" descr="C:\Users\EPBFIA~1\AppData\Local\Temp\Bloomberg\temp\bfm12A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12A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570" cy="4220362"/>
                    </a:xfrm>
                    <a:prstGeom prst="rect">
                      <a:avLst/>
                    </a:prstGeom>
                    <a:noFill/>
                    <a:ln>
                      <a:noFill/>
                    </a:ln>
                  </pic:spPr>
                </pic:pic>
              </a:graphicData>
            </a:graphic>
          </wp:inline>
        </w:drawing>
      </w:r>
    </w:p>
    <w:p w:rsidR="00F72829" w:rsidRPr="008D238B" w:rsidRDefault="00F72829" w:rsidP="00F72829">
      <w:pPr>
        <w:jc w:val="both"/>
        <w:rPr>
          <w:rFonts w:ascii="Arial" w:hAnsi="Arial" w:cs="Arial"/>
          <w:b/>
          <w:bCs/>
          <w:sz w:val="28"/>
          <w:szCs w:val="28"/>
          <w:u w:val="single"/>
          <w:lang w:val="en-US"/>
        </w:rPr>
      </w:pPr>
      <w:r w:rsidRPr="008D238B">
        <w:rPr>
          <w:rFonts w:ascii="Arial" w:hAnsi="Arial" w:cs="Arial"/>
          <w:b/>
          <w:bCs/>
          <w:sz w:val="28"/>
          <w:szCs w:val="28"/>
          <w:u w:val="single"/>
          <w:lang w:val="en-US"/>
        </w:rPr>
        <w:t>Weekly</w:t>
      </w:r>
    </w:p>
    <w:p w:rsidR="008F1539" w:rsidRPr="008D238B" w:rsidRDefault="00D7545F" w:rsidP="00B65AF1">
      <w:pPr>
        <w:autoSpaceDE w:val="0"/>
        <w:autoSpaceDN w:val="0"/>
        <w:adjustRightInd w:val="0"/>
        <w:ind w:left="-283"/>
        <w:jc w:val="both"/>
        <w:rPr>
          <w:rFonts w:ascii="Arial" w:hAnsi="Arial" w:cs="Arial"/>
          <w:lang w:val="en-US"/>
        </w:rPr>
      </w:pPr>
      <w:r w:rsidRPr="00D7545F">
        <w:rPr>
          <w:rFonts w:ascii="Arial" w:hAnsi="Arial" w:cs="Arial"/>
          <w:noProof/>
        </w:rPr>
        <w:drawing>
          <wp:inline distT="0" distB="0" distL="0" distR="0">
            <wp:extent cx="6645275" cy="4381500"/>
            <wp:effectExtent l="0" t="0" r="3175" b="0"/>
            <wp:docPr id="12" name="Image 12" descr="C:\Users\EPBFIA~1\AppData\Local\Temp\Bloomberg\temp\bfm7B1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7B1F.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406" cy="4382246"/>
                    </a:xfrm>
                    <a:prstGeom prst="rect">
                      <a:avLst/>
                    </a:prstGeom>
                    <a:noFill/>
                    <a:ln>
                      <a:noFill/>
                    </a:ln>
                  </pic:spPr>
                </pic:pic>
              </a:graphicData>
            </a:graphic>
          </wp:inline>
        </w:drawing>
      </w:r>
    </w:p>
    <w:p w:rsidR="00A404A8" w:rsidRPr="008D238B" w:rsidRDefault="00A404A8" w:rsidP="00B65AF1">
      <w:pPr>
        <w:autoSpaceDE w:val="0"/>
        <w:autoSpaceDN w:val="0"/>
        <w:adjustRightInd w:val="0"/>
        <w:ind w:left="-283"/>
        <w:jc w:val="both"/>
        <w:rPr>
          <w:rFonts w:ascii="Arial" w:hAnsi="Arial" w:cs="Arial"/>
          <w:lang w:val="en-US"/>
        </w:rPr>
      </w:pPr>
    </w:p>
    <w:p w:rsidR="00ED1495" w:rsidRPr="008D238B" w:rsidRDefault="00AB09C6" w:rsidP="00E81EBB">
      <w:pPr>
        <w:autoSpaceDE w:val="0"/>
        <w:autoSpaceDN w:val="0"/>
        <w:adjustRightInd w:val="0"/>
        <w:ind w:left="-850"/>
        <w:jc w:val="both"/>
        <w:rPr>
          <w:rFonts w:ascii="Arial" w:hAnsi="Arial" w:cs="Arial"/>
          <w:b/>
          <w:bCs/>
          <w:sz w:val="28"/>
          <w:szCs w:val="28"/>
          <w:u w:val="single"/>
          <w:lang w:val="en-US"/>
        </w:rPr>
      </w:pPr>
      <w:r w:rsidRPr="008D238B">
        <w:rPr>
          <w:rFonts w:ascii="Arial" w:hAnsi="Arial" w:cs="Arial"/>
          <w:b/>
          <w:bCs/>
          <w:sz w:val="28"/>
          <w:szCs w:val="28"/>
          <w:lang w:val="en-US"/>
        </w:rPr>
        <w:t xml:space="preserve">           </w:t>
      </w:r>
      <w:r w:rsidR="008F1539" w:rsidRPr="008D238B">
        <w:rPr>
          <w:rFonts w:ascii="Arial" w:hAnsi="Arial" w:cs="Arial"/>
          <w:b/>
          <w:bCs/>
          <w:sz w:val="28"/>
          <w:szCs w:val="28"/>
          <w:u w:val="single"/>
          <w:lang w:val="en-US"/>
        </w:rPr>
        <w:t>Daily</w:t>
      </w:r>
    </w:p>
    <w:p w:rsidR="00E53ADF" w:rsidRDefault="00D7545F" w:rsidP="00AB2ED4">
      <w:pPr>
        <w:autoSpaceDE w:val="0"/>
        <w:autoSpaceDN w:val="0"/>
        <w:adjustRightInd w:val="0"/>
        <w:ind w:left="-283"/>
        <w:jc w:val="both"/>
        <w:rPr>
          <w:rFonts w:ascii="Arial" w:hAnsi="Arial" w:cs="Arial"/>
          <w:lang w:val="en-US"/>
        </w:rPr>
      </w:pPr>
      <w:r w:rsidRPr="00D7545F">
        <w:rPr>
          <w:rFonts w:ascii="Arial" w:hAnsi="Arial" w:cs="Arial"/>
          <w:noProof/>
        </w:rPr>
        <w:lastRenderedPageBreak/>
        <w:drawing>
          <wp:inline distT="0" distB="0" distL="0" distR="0">
            <wp:extent cx="6645330" cy="4171950"/>
            <wp:effectExtent l="0" t="0" r="3175" b="0"/>
            <wp:docPr id="13" name="Image 13" descr="C:\Users\EPBFIA~1\AppData\Local\Temp\Bloomberg\temp\bfm1C7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1C71.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350" cy="4172590"/>
                    </a:xfrm>
                    <a:prstGeom prst="rect">
                      <a:avLst/>
                    </a:prstGeom>
                    <a:noFill/>
                    <a:ln>
                      <a:noFill/>
                    </a:ln>
                  </pic:spPr>
                </pic:pic>
              </a:graphicData>
            </a:graphic>
          </wp:inline>
        </w:drawing>
      </w:r>
    </w:p>
    <w:p w:rsidR="00D7545F" w:rsidRPr="008D238B" w:rsidRDefault="00D7545F" w:rsidP="00AB2ED4">
      <w:pPr>
        <w:autoSpaceDE w:val="0"/>
        <w:autoSpaceDN w:val="0"/>
        <w:adjustRightInd w:val="0"/>
        <w:ind w:left="-283"/>
        <w:jc w:val="both"/>
        <w:rPr>
          <w:rFonts w:ascii="Arial" w:hAnsi="Arial" w:cs="Arial"/>
          <w:lang w:val="en-US"/>
        </w:rPr>
      </w:pPr>
    </w:p>
    <w:p w:rsidR="008A2A5A" w:rsidRDefault="0034170D" w:rsidP="007A24CA">
      <w:pPr>
        <w:jc w:val="both"/>
        <w:rPr>
          <w:rFonts w:ascii="Tahoma" w:hAnsi="Tahoma" w:cs="Tahoma"/>
          <w:bCs/>
        </w:rPr>
      </w:pPr>
      <w:r w:rsidRPr="004D1150">
        <w:rPr>
          <w:rFonts w:ascii="Arial" w:hAnsi="Arial" w:cs="Arial"/>
          <w:b/>
          <w:bCs/>
        </w:rPr>
        <w:t>M :</w:t>
      </w:r>
      <w:r w:rsidRPr="004D1150">
        <w:rPr>
          <w:rFonts w:ascii="Tahoma" w:hAnsi="Tahoma" w:cs="Tahoma"/>
          <w:bCs/>
        </w:rPr>
        <w:t xml:space="preserve"> </w:t>
      </w:r>
      <w:r w:rsidR="00E53ADF">
        <w:rPr>
          <w:rFonts w:ascii="Tahoma" w:hAnsi="Tahoma" w:cs="Tahoma"/>
          <w:bCs/>
        </w:rPr>
        <w:t>La borne basse du nuage servira de résistance sur +0.03 au cours du mois de mars. Sous ce point la hausse pourra être écartée de l’analyse.</w:t>
      </w:r>
    </w:p>
    <w:p w:rsidR="00E53ADF" w:rsidRDefault="00E53ADF" w:rsidP="007A24CA">
      <w:pPr>
        <w:jc w:val="both"/>
        <w:rPr>
          <w:rFonts w:ascii="Tahoma" w:hAnsi="Tahoma" w:cs="Tahoma"/>
          <w:bCs/>
        </w:rPr>
      </w:pPr>
      <w:r>
        <w:rPr>
          <w:rFonts w:ascii="Tahoma" w:hAnsi="Tahoma" w:cs="Tahoma"/>
          <w:bCs/>
        </w:rPr>
        <w:t>En cassure de +0.03 le marché trouvera en résistance le plat de TS et de KS sur +0.058.</w:t>
      </w:r>
    </w:p>
    <w:p w:rsidR="00E53ADF" w:rsidRPr="004D1150" w:rsidRDefault="00E53ADF" w:rsidP="007A24CA">
      <w:pPr>
        <w:jc w:val="both"/>
        <w:rPr>
          <w:rFonts w:ascii="Tahoma" w:hAnsi="Tahoma" w:cs="Tahoma"/>
          <w:bCs/>
        </w:rPr>
      </w:pPr>
      <w:r>
        <w:rPr>
          <w:rFonts w:ascii="Tahoma" w:hAnsi="Tahoma" w:cs="Tahoma"/>
          <w:bCs/>
        </w:rPr>
        <w:t>La baisse sera envisagée lorsque la LS sera revenu sous sa TS qui se situera pour le mois sur -0.10.</w:t>
      </w:r>
    </w:p>
    <w:p w:rsidR="0034170D" w:rsidRPr="004D1150" w:rsidRDefault="0034170D" w:rsidP="0034170D">
      <w:pPr>
        <w:jc w:val="both"/>
        <w:rPr>
          <w:rFonts w:ascii="Tahoma" w:hAnsi="Tahoma" w:cs="Tahoma"/>
          <w:bCs/>
          <w:color w:val="FF0000"/>
        </w:rPr>
      </w:pPr>
      <w:r w:rsidRPr="004D1150">
        <w:rPr>
          <w:rFonts w:ascii="Tahoma" w:hAnsi="Tahoma" w:cs="Tahoma"/>
          <w:bCs/>
          <w:color w:val="FF0000"/>
        </w:rPr>
        <w:t xml:space="preserve">  </w:t>
      </w:r>
    </w:p>
    <w:p w:rsidR="000B712D" w:rsidRPr="00E53ADF" w:rsidRDefault="0034170D" w:rsidP="00EE6477">
      <w:pPr>
        <w:jc w:val="both"/>
        <w:rPr>
          <w:rFonts w:ascii="Tahoma" w:hAnsi="Tahoma" w:cs="Tahoma"/>
          <w:bCs/>
        </w:rPr>
      </w:pPr>
      <w:r w:rsidRPr="007E64EF">
        <w:rPr>
          <w:rFonts w:ascii="Arial" w:hAnsi="Arial" w:cs="Arial"/>
          <w:b/>
          <w:bCs/>
        </w:rPr>
        <w:t xml:space="preserve">W : </w:t>
      </w:r>
      <w:r w:rsidR="00E53ADF" w:rsidRPr="00E53ADF">
        <w:rPr>
          <w:rFonts w:ascii="Tahoma" w:hAnsi="Tahoma" w:cs="Tahoma"/>
          <w:bCs/>
        </w:rPr>
        <w:t xml:space="preserve">Le petit plat de TS sera une résistance </w:t>
      </w:r>
      <w:r w:rsidR="00767166" w:rsidRPr="00E53ADF">
        <w:rPr>
          <w:rFonts w:ascii="Tahoma" w:hAnsi="Tahoma" w:cs="Tahoma"/>
          <w:bCs/>
        </w:rPr>
        <w:t>intermédiaire</w:t>
      </w:r>
      <w:r w:rsidR="00E53ADF" w:rsidRPr="00E53ADF">
        <w:rPr>
          <w:rFonts w:ascii="Tahoma" w:hAnsi="Tahoma" w:cs="Tahoma"/>
          <w:bCs/>
        </w:rPr>
        <w:t xml:space="preserve"> sur 0.00.</w:t>
      </w:r>
      <w:r w:rsidR="00E53ADF">
        <w:rPr>
          <w:rFonts w:ascii="Tahoma" w:hAnsi="Tahoma" w:cs="Tahoma"/>
          <w:bCs/>
        </w:rPr>
        <w:t xml:space="preserve"> Sa cassure aura pour 1</w:t>
      </w:r>
      <w:r w:rsidR="00E53ADF" w:rsidRPr="00E53ADF">
        <w:rPr>
          <w:rFonts w:ascii="Tahoma" w:hAnsi="Tahoma" w:cs="Tahoma"/>
          <w:bCs/>
          <w:vertAlign w:val="superscript"/>
        </w:rPr>
        <w:t>er</w:t>
      </w:r>
      <w:r w:rsidR="00E53ADF">
        <w:rPr>
          <w:rFonts w:ascii="Tahoma" w:hAnsi="Tahoma" w:cs="Tahoma"/>
          <w:bCs/>
        </w:rPr>
        <w:t xml:space="preserve"> objectif le plat de nuage passé de +0.05.</w:t>
      </w:r>
    </w:p>
    <w:p w:rsidR="00EE6477" w:rsidRDefault="00E53ADF" w:rsidP="00EE6477">
      <w:pPr>
        <w:jc w:val="both"/>
        <w:rPr>
          <w:rFonts w:ascii="Tahoma" w:hAnsi="Tahoma" w:cs="Tahoma"/>
          <w:bCs/>
        </w:rPr>
      </w:pPr>
      <w:r>
        <w:rPr>
          <w:rFonts w:ascii="Tahoma" w:hAnsi="Tahoma" w:cs="Tahoma"/>
          <w:bCs/>
        </w:rPr>
        <w:t>Les bas récents de -0.05 serviront de support de moyen terme.</w:t>
      </w:r>
    </w:p>
    <w:p w:rsidR="006D3C0C" w:rsidRPr="007E64EF" w:rsidRDefault="006D3C0C" w:rsidP="00EE6477">
      <w:pPr>
        <w:jc w:val="both"/>
        <w:rPr>
          <w:rFonts w:ascii="Tahoma" w:hAnsi="Tahoma" w:cs="Tahoma"/>
          <w:bCs/>
        </w:rPr>
      </w:pPr>
    </w:p>
    <w:p w:rsidR="008370A6" w:rsidRPr="001F298B" w:rsidRDefault="0034170D" w:rsidP="000F7FF2">
      <w:pPr>
        <w:jc w:val="both"/>
        <w:rPr>
          <w:rFonts w:ascii="Arial" w:hAnsi="Arial" w:cs="Arial"/>
          <w:bCs/>
        </w:rPr>
      </w:pPr>
      <w:r w:rsidRPr="00D724BF">
        <w:rPr>
          <w:rFonts w:ascii="Arial" w:hAnsi="Arial" w:cs="Arial"/>
          <w:b/>
          <w:bCs/>
        </w:rPr>
        <w:t xml:space="preserve">D : </w:t>
      </w:r>
      <w:r w:rsidR="006D3C0C">
        <w:rPr>
          <w:rFonts w:ascii="Arial" w:hAnsi="Arial" w:cs="Arial"/>
          <w:bCs/>
        </w:rPr>
        <w:t xml:space="preserve">Sur le court terme, la KS sert de support sur -0.02. </w:t>
      </w:r>
      <w:r w:rsidR="00767166">
        <w:rPr>
          <w:rFonts w:ascii="Arial" w:hAnsi="Arial" w:cs="Arial"/>
          <w:bCs/>
        </w:rPr>
        <w:t>Au-dessus</w:t>
      </w:r>
      <w:r w:rsidR="006D3C0C">
        <w:rPr>
          <w:rFonts w:ascii="Arial" w:hAnsi="Arial" w:cs="Arial"/>
          <w:bCs/>
        </w:rPr>
        <w:t xml:space="preserve"> de ce point, l’espace libre </w:t>
      </w:r>
      <w:r w:rsidR="002A50F8">
        <w:rPr>
          <w:rFonts w:ascii="Arial" w:hAnsi="Arial" w:cs="Arial"/>
          <w:bCs/>
        </w:rPr>
        <w:t>permettra au 10 ans de venir chercher la résistance matérialisée par la bordure basse de son nuage soit 0.00. En dépassement de cette résistance, ce sera la borne haute du nuage qui servira de cible soit le niveau de +0.04.</w:t>
      </w:r>
    </w:p>
    <w:p w:rsidR="00EB112D" w:rsidRDefault="00EB112D" w:rsidP="0034170D">
      <w:pPr>
        <w:jc w:val="both"/>
        <w:rPr>
          <w:rFonts w:ascii="Arial" w:hAnsi="Arial" w:cs="Arial"/>
          <w:color w:val="FF0000"/>
        </w:rPr>
      </w:pPr>
    </w:p>
    <w:p w:rsidR="00C25F70" w:rsidRPr="002C4B3C" w:rsidRDefault="00C25F70" w:rsidP="0034170D">
      <w:pPr>
        <w:jc w:val="both"/>
        <w:rPr>
          <w:rFonts w:ascii="Arial" w:hAnsi="Arial" w:cs="Arial"/>
          <w:color w:val="FF0000"/>
        </w:rPr>
      </w:pPr>
    </w:p>
    <w:p w:rsidR="006B0DAF" w:rsidRPr="00636AD9" w:rsidRDefault="0034170D" w:rsidP="007A24CA">
      <w:pPr>
        <w:jc w:val="both"/>
        <w:rPr>
          <w:rFonts w:ascii="Arial" w:hAnsi="Arial" w:cs="Arial"/>
          <w:b/>
          <w:color w:val="00B050"/>
        </w:rPr>
      </w:pPr>
      <w:r w:rsidRPr="00636AD9">
        <w:rPr>
          <w:rFonts w:ascii="Arial" w:hAnsi="Arial" w:cs="Arial"/>
          <w:b/>
          <w:color w:val="00B050"/>
          <w:u w:val="single"/>
        </w:rPr>
        <w:t>HEBDOMADAIRE</w:t>
      </w:r>
      <w:r w:rsidRPr="00636AD9">
        <w:rPr>
          <w:rFonts w:ascii="Arial" w:hAnsi="Arial" w:cs="Arial"/>
          <w:b/>
          <w:color w:val="00B050"/>
        </w:rPr>
        <w:t xml:space="preserve"> : </w:t>
      </w:r>
      <w:r w:rsidR="002A50F8">
        <w:rPr>
          <w:rFonts w:ascii="Arial" w:hAnsi="Arial" w:cs="Arial"/>
          <w:b/>
          <w:color w:val="00B050"/>
        </w:rPr>
        <w:t>Quelle que soit l’évolution du marché supports et résistances restent cadrée entre -0.05 et +0.05.</w:t>
      </w:r>
    </w:p>
    <w:p w:rsidR="00152721" w:rsidRPr="00A321F0" w:rsidRDefault="00152721" w:rsidP="00292AF0">
      <w:pPr>
        <w:jc w:val="both"/>
        <w:rPr>
          <w:rFonts w:ascii="Arial" w:hAnsi="Arial" w:cs="Arial"/>
          <w:b/>
          <w:bCs/>
          <w:color w:val="FF0000"/>
          <w:sz w:val="36"/>
          <w:szCs w:val="36"/>
        </w:rPr>
      </w:pPr>
    </w:p>
    <w:p w:rsidR="00C25F70" w:rsidRPr="0006091F" w:rsidRDefault="00C25F70"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lastRenderedPageBreak/>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D7545F">
          <w:rPr>
            <w:noProof/>
          </w:rPr>
          <w:t>10</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99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5DB"/>
    <w:rsid w:val="00003BB4"/>
    <w:rsid w:val="000043C9"/>
    <w:rsid w:val="000045D0"/>
    <w:rsid w:val="00006573"/>
    <w:rsid w:val="00006718"/>
    <w:rsid w:val="000103AA"/>
    <w:rsid w:val="00011200"/>
    <w:rsid w:val="00012766"/>
    <w:rsid w:val="00013B8A"/>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2F5"/>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137"/>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CAD"/>
    <w:rsid w:val="003E3E0C"/>
    <w:rsid w:val="003E462E"/>
    <w:rsid w:val="003E5A71"/>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27A15"/>
    <w:rsid w:val="0043066E"/>
    <w:rsid w:val="004306D5"/>
    <w:rsid w:val="0043099C"/>
    <w:rsid w:val="0043164A"/>
    <w:rsid w:val="00432229"/>
    <w:rsid w:val="00432974"/>
    <w:rsid w:val="004337C8"/>
    <w:rsid w:val="0044041C"/>
    <w:rsid w:val="00440575"/>
    <w:rsid w:val="004411EA"/>
    <w:rsid w:val="00442012"/>
    <w:rsid w:val="004465AF"/>
    <w:rsid w:val="004468CC"/>
    <w:rsid w:val="00446A18"/>
    <w:rsid w:val="00447612"/>
    <w:rsid w:val="00447F13"/>
    <w:rsid w:val="00451C8C"/>
    <w:rsid w:val="0045309C"/>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997"/>
    <w:rsid w:val="004C107D"/>
    <w:rsid w:val="004C1D94"/>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7340"/>
    <w:rsid w:val="0060114F"/>
    <w:rsid w:val="0060274E"/>
    <w:rsid w:val="00602AC0"/>
    <w:rsid w:val="00602F07"/>
    <w:rsid w:val="00604681"/>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6AD9"/>
    <w:rsid w:val="006374F9"/>
    <w:rsid w:val="00637D32"/>
    <w:rsid w:val="006420ED"/>
    <w:rsid w:val="006423C5"/>
    <w:rsid w:val="00643293"/>
    <w:rsid w:val="0064344E"/>
    <w:rsid w:val="00643C41"/>
    <w:rsid w:val="00645868"/>
    <w:rsid w:val="0064679C"/>
    <w:rsid w:val="00650C73"/>
    <w:rsid w:val="00652F6E"/>
    <w:rsid w:val="0065391F"/>
    <w:rsid w:val="00653DBA"/>
    <w:rsid w:val="00654221"/>
    <w:rsid w:val="00654B9A"/>
    <w:rsid w:val="0066004C"/>
    <w:rsid w:val="0066058B"/>
    <w:rsid w:val="006641B7"/>
    <w:rsid w:val="006701A6"/>
    <w:rsid w:val="00670CF7"/>
    <w:rsid w:val="00673AB2"/>
    <w:rsid w:val="00675360"/>
    <w:rsid w:val="0067627F"/>
    <w:rsid w:val="00676870"/>
    <w:rsid w:val="00681617"/>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C0C"/>
    <w:rsid w:val="006D3D0E"/>
    <w:rsid w:val="006D6654"/>
    <w:rsid w:val="006D6C35"/>
    <w:rsid w:val="006D7DCD"/>
    <w:rsid w:val="006E0AD0"/>
    <w:rsid w:val="006E0DCC"/>
    <w:rsid w:val="006E1A3A"/>
    <w:rsid w:val="006E6472"/>
    <w:rsid w:val="006E7165"/>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87AC3"/>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38B"/>
    <w:rsid w:val="008D29AD"/>
    <w:rsid w:val="008D2BC2"/>
    <w:rsid w:val="008D2E1D"/>
    <w:rsid w:val="008D4909"/>
    <w:rsid w:val="008D490D"/>
    <w:rsid w:val="008D7B36"/>
    <w:rsid w:val="008E1392"/>
    <w:rsid w:val="008E220D"/>
    <w:rsid w:val="008E2679"/>
    <w:rsid w:val="008E3AAB"/>
    <w:rsid w:val="008E426B"/>
    <w:rsid w:val="008E61D4"/>
    <w:rsid w:val="008F066B"/>
    <w:rsid w:val="008F1539"/>
    <w:rsid w:val="008F180E"/>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B4A"/>
    <w:rsid w:val="00972065"/>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101"/>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621"/>
    <w:rsid w:val="00B30D14"/>
    <w:rsid w:val="00B30DFC"/>
    <w:rsid w:val="00B32C34"/>
    <w:rsid w:val="00B35114"/>
    <w:rsid w:val="00B35DBD"/>
    <w:rsid w:val="00B37C44"/>
    <w:rsid w:val="00B4102E"/>
    <w:rsid w:val="00B41142"/>
    <w:rsid w:val="00B4156D"/>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1897"/>
    <w:rsid w:val="00CC24D5"/>
    <w:rsid w:val="00CC3773"/>
    <w:rsid w:val="00CC4362"/>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6809"/>
    <w:rsid w:val="00D67CDE"/>
    <w:rsid w:val="00D67E50"/>
    <w:rsid w:val="00D709E7"/>
    <w:rsid w:val="00D710B4"/>
    <w:rsid w:val="00D71148"/>
    <w:rsid w:val="00D720FC"/>
    <w:rsid w:val="00D724BF"/>
    <w:rsid w:val="00D73C88"/>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29A7"/>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D72E7"/>
    <w:rsid w:val="00DE081B"/>
    <w:rsid w:val="00DE1D77"/>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5CE9"/>
    <w:rsid w:val="00E16413"/>
    <w:rsid w:val="00E16C54"/>
    <w:rsid w:val="00E20BFB"/>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3ADF"/>
    <w:rsid w:val="00E54477"/>
    <w:rsid w:val="00E54DDA"/>
    <w:rsid w:val="00E57846"/>
    <w:rsid w:val="00E60B59"/>
    <w:rsid w:val="00E61162"/>
    <w:rsid w:val="00E61B99"/>
    <w:rsid w:val="00E6336C"/>
    <w:rsid w:val="00E6550D"/>
    <w:rsid w:val="00E65B93"/>
    <w:rsid w:val="00E70F02"/>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583F"/>
    <w:rsid w:val="00E866B7"/>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2F2D"/>
    <w:rsid w:val="00F72F88"/>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CB0"/>
    <w:rsid w:val="00FA6DF2"/>
    <w:rsid w:val="00FB2728"/>
    <w:rsid w:val="00FB3CBD"/>
    <w:rsid w:val="00FB4844"/>
    <w:rsid w:val="00FB5FC1"/>
    <w:rsid w:val="00FB69C9"/>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99009"/>
    <o:shapelayout v:ext="edit">
      <o:idmap v:ext="edit" data="1"/>
    </o:shapelayout>
  </w:shapeDefaults>
  <w:decimalSymbol w:val="."/>
  <w:listSeparator w:val=";"/>
  <w14:docId w14:val="77EDBBE7"/>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20710-8211-4F68-AE76-0C0670842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717</Words>
  <Characters>3948</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8</cp:revision>
  <cp:lastPrinted>2019-01-14T09:08:00Z</cp:lastPrinted>
  <dcterms:created xsi:type="dcterms:W3CDTF">2019-03-04T09:17:00Z</dcterms:created>
  <dcterms:modified xsi:type="dcterms:W3CDTF">2019-03-04T16:20:00Z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