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600CBA">
        <w:rPr>
          <w:rFonts w:ascii="Calibri Light" w:hAnsi="Calibri Light" w:cs="Arial"/>
          <w:b/>
          <w:sz w:val="44"/>
          <w:szCs w:val="44"/>
        </w:rPr>
        <w:t>1</w:t>
      </w:r>
      <w:r w:rsidR="00FA6761">
        <w:rPr>
          <w:rFonts w:ascii="Calibri Light" w:hAnsi="Calibri Light" w:cs="Arial"/>
          <w:b/>
          <w:sz w:val="44"/>
          <w:szCs w:val="44"/>
        </w:rPr>
        <w:t>1</w:t>
      </w:r>
      <w:r w:rsidR="00E53ADF">
        <w:rPr>
          <w:rFonts w:ascii="Calibri Light" w:hAnsi="Calibri Light" w:cs="Arial"/>
          <w:b/>
          <w:sz w:val="44"/>
          <w:szCs w:val="44"/>
        </w:rPr>
        <w:t xml:space="preserve"> mars</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FB5FC1" w:rsidRPr="00E1311A" w:rsidRDefault="00FB5FC1" w:rsidP="00F72829">
      <w:pPr>
        <w:jc w:val="both"/>
        <w:rPr>
          <w:rFonts w:ascii="Arial" w:hAnsi="Arial" w:cs="Arial"/>
          <w:b/>
          <w:sz w:val="22"/>
          <w:szCs w:val="22"/>
        </w:rPr>
      </w:pPr>
    </w:p>
    <w:p w:rsidR="003505F9" w:rsidRPr="00E1311A" w:rsidRDefault="003505F9"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FA6761" w:rsidRDefault="009712D5" w:rsidP="00B65AF1">
      <w:pPr>
        <w:autoSpaceDE w:val="0"/>
        <w:ind w:left="-283"/>
        <w:jc w:val="both"/>
        <w:rPr>
          <w:rFonts w:ascii="Arial" w:hAnsi="Arial" w:cs="Arial"/>
          <w:b/>
          <w:sz w:val="28"/>
          <w:szCs w:val="28"/>
          <w:u w:val="single"/>
          <w:lang w:val="en-US"/>
        </w:rPr>
      </w:pPr>
      <w:r w:rsidRPr="009712D5">
        <w:rPr>
          <w:rFonts w:ascii="Arial" w:hAnsi="Arial" w:cs="Arial"/>
          <w:b/>
          <w:noProof/>
          <w:sz w:val="28"/>
          <w:szCs w:val="28"/>
          <w:u w:val="single"/>
        </w:rPr>
        <w:drawing>
          <wp:inline distT="0" distB="0" distL="0" distR="0">
            <wp:extent cx="6645330" cy="4168140"/>
            <wp:effectExtent l="0" t="0" r="3175" b="3810"/>
            <wp:docPr id="1" name="Image 1" descr="C:\Users\EPBFIA~1\AppData\Local\Temp\Bloomberg\temp\bfmCBE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CBEA.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130" cy="4168642"/>
                    </a:xfrm>
                    <a:prstGeom prst="rect">
                      <a:avLst/>
                    </a:prstGeom>
                    <a:noFill/>
                    <a:ln>
                      <a:noFill/>
                    </a:ln>
                  </pic:spPr>
                </pic:pic>
              </a:graphicData>
            </a:graphic>
          </wp:inline>
        </w:drawing>
      </w:r>
    </w:p>
    <w:p w:rsidR="00F72829" w:rsidRPr="00FA6761" w:rsidRDefault="00F72829" w:rsidP="00F72829">
      <w:pPr>
        <w:autoSpaceDE w:val="0"/>
        <w:jc w:val="both"/>
        <w:rPr>
          <w:rFonts w:ascii="Arial" w:hAnsi="Arial" w:cs="Arial"/>
          <w:b/>
          <w:sz w:val="28"/>
          <w:szCs w:val="28"/>
          <w:u w:val="single"/>
          <w:lang w:val="en-US"/>
        </w:rPr>
      </w:pPr>
      <w:r w:rsidRPr="00FA6761">
        <w:rPr>
          <w:rFonts w:ascii="Arial" w:hAnsi="Arial" w:cs="Arial"/>
          <w:b/>
          <w:sz w:val="28"/>
          <w:szCs w:val="28"/>
          <w:u w:val="single"/>
          <w:lang w:val="en-US"/>
        </w:rPr>
        <w:t>Weekly</w:t>
      </w:r>
    </w:p>
    <w:p w:rsidR="0021751A" w:rsidRPr="00FA6761" w:rsidRDefault="009712D5" w:rsidP="00B42D85">
      <w:pPr>
        <w:autoSpaceDE w:val="0"/>
        <w:ind w:left="-283"/>
        <w:jc w:val="both"/>
        <w:rPr>
          <w:rFonts w:ascii="Arial" w:hAnsi="Arial" w:cs="Arial"/>
          <w:b/>
          <w:sz w:val="28"/>
          <w:szCs w:val="28"/>
          <w:u w:val="single"/>
          <w:lang w:val="en-US"/>
        </w:rPr>
      </w:pPr>
      <w:r w:rsidRPr="009712D5">
        <w:rPr>
          <w:rFonts w:ascii="Arial" w:hAnsi="Arial" w:cs="Arial"/>
          <w:b/>
          <w:noProof/>
          <w:sz w:val="28"/>
          <w:szCs w:val="28"/>
          <w:u w:val="single"/>
        </w:rPr>
        <w:drawing>
          <wp:inline distT="0" distB="0" distL="0" distR="0">
            <wp:extent cx="6645330" cy="4411980"/>
            <wp:effectExtent l="0" t="0" r="3175" b="7620"/>
            <wp:docPr id="2" name="Image 2" descr="C:\Users\EPBFIA~1\AppData\Local\Temp\Bloomberg\temp\bfm77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7700.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05" cy="4412694"/>
                    </a:xfrm>
                    <a:prstGeom prst="rect">
                      <a:avLst/>
                    </a:prstGeom>
                    <a:noFill/>
                    <a:ln>
                      <a:noFill/>
                    </a:ln>
                  </pic:spPr>
                </pic:pic>
              </a:graphicData>
            </a:graphic>
          </wp:inline>
        </w:drawing>
      </w:r>
    </w:p>
    <w:p w:rsidR="00286600" w:rsidRPr="00FA6761" w:rsidRDefault="005E3841" w:rsidP="00B25A1B">
      <w:pPr>
        <w:autoSpaceDE w:val="0"/>
        <w:ind w:left="-851"/>
        <w:jc w:val="both"/>
        <w:rPr>
          <w:rFonts w:ascii="Arial" w:hAnsi="Arial" w:cs="Arial"/>
          <w:b/>
          <w:sz w:val="28"/>
          <w:szCs w:val="28"/>
          <w:u w:val="single"/>
          <w:lang w:val="en-US"/>
        </w:rPr>
      </w:pPr>
      <w:r w:rsidRPr="00FA6761">
        <w:rPr>
          <w:rFonts w:ascii="Arial" w:hAnsi="Arial" w:cs="Arial"/>
          <w:b/>
          <w:sz w:val="28"/>
          <w:szCs w:val="28"/>
          <w:lang w:val="en-US"/>
        </w:rPr>
        <w:lastRenderedPageBreak/>
        <w:t xml:space="preserve">           </w:t>
      </w:r>
      <w:r w:rsidR="000D4E0C" w:rsidRPr="00FA6761">
        <w:rPr>
          <w:rFonts w:ascii="Arial" w:hAnsi="Arial" w:cs="Arial"/>
          <w:b/>
          <w:sz w:val="28"/>
          <w:szCs w:val="28"/>
          <w:u w:val="single"/>
          <w:lang w:val="en-US"/>
        </w:rPr>
        <w:t>Daily</w:t>
      </w:r>
    </w:p>
    <w:p w:rsidR="008F46BD" w:rsidRPr="00FA6761" w:rsidRDefault="009712D5" w:rsidP="003505F9">
      <w:pPr>
        <w:autoSpaceDE w:val="0"/>
        <w:jc w:val="both"/>
        <w:rPr>
          <w:rFonts w:ascii="Arial" w:hAnsi="Arial" w:cs="Arial"/>
          <w:b/>
          <w:sz w:val="28"/>
          <w:szCs w:val="28"/>
          <w:u w:val="single"/>
          <w:lang w:val="en-US"/>
        </w:rPr>
      </w:pPr>
      <w:r w:rsidRPr="009712D5">
        <w:rPr>
          <w:rFonts w:ascii="Arial" w:hAnsi="Arial" w:cs="Arial"/>
          <w:b/>
          <w:noProof/>
          <w:sz w:val="28"/>
          <w:szCs w:val="28"/>
          <w:u w:val="single"/>
        </w:rPr>
        <w:drawing>
          <wp:inline distT="0" distB="0" distL="0" distR="0">
            <wp:extent cx="6645330" cy="4267200"/>
            <wp:effectExtent l="0" t="0" r="3175" b="0"/>
            <wp:docPr id="3" name="Image 3" descr="C:\Users\EPBFIA~1\AppData\Local\Temp\Bloomberg\temp\bfmCC8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CC8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295" cy="4267820"/>
                    </a:xfrm>
                    <a:prstGeom prst="rect">
                      <a:avLst/>
                    </a:prstGeom>
                    <a:noFill/>
                    <a:ln>
                      <a:noFill/>
                    </a:ln>
                  </pic:spPr>
                </pic:pic>
              </a:graphicData>
            </a:graphic>
          </wp:inline>
        </w:drawing>
      </w:r>
    </w:p>
    <w:p w:rsidR="00A17C7A" w:rsidRPr="00E1311A" w:rsidRDefault="00A17C7A" w:rsidP="003505F9">
      <w:pPr>
        <w:autoSpaceDE w:val="0"/>
        <w:jc w:val="both"/>
        <w:rPr>
          <w:rFonts w:ascii="Arial" w:hAnsi="Arial" w:cs="Arial"/>
          <w:b/>
          <w:sz w:val="28"/>
          <w:szCs w:val="28"/>
          <w:u w:val="single"/>
        </w:rPr>
      </w:pPr>
    </w:p>
    <w:p w:rsidR="00D67E50" w:rsidRDefault="00F72829" w:rsidP="00D67E50">
      <w:pPr>
        <w:jc w:val="both"/>
        <w:rPr>
          <w:rFonts w:ascii="Tahoma" w:hAnsi="Tahoma" w:cs="Tahoma"/>
          <w:bCs/>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252935">
        <w:rPr>
          <w:rFonts w:ascii="Arial" w:hAnsi="Arial" w:cs="Arial"/>
        </w:rPr>
        <w:t>a borne basse du nuage de long terme se situe</w:t>
      </w:r>
      <w:r w:rsidR="001B0078">
        <w:rPr>
          <w:rFonts w:ascii="Arial" w:hAnsi="Arial" w:cs="Arial"/>
        </w:rPr>
        <w:t>ra</w:t>
      </w:r>
      <w:r w:rsidR="00252935">
        <w:rPr>
          <w:rFonts w:ascii="Arial" w:hAnsi="Arial" w:cs="Arial"/>
        </w:rPr>
        <w:t xml:space="preserve"> sur </w:t>
      </w:r>
      <w:r w:rsidR="00207DBB">
        <w:rPr>
          <w:rFonts w:ascii="Arial" w:hAnsi="Arial" w:cs="Arial"/>
        </w:rPr>
        <w:t>+</w:t>
      </w:r>
      <w:r w:rsidR="00252935">
        <w:rPr>
          <w:rFonts w:ascii="Arial" w:hAnsi="Arial" w:cs="Arial"/>
        </w:rPr>
        <w:t>0.28</w:t>
      </w:r>
      <w:r w:rsidR="001B0078">
        <w:rPr>
          <w:rFonts w:ascii="Arial" w:hAnsi="Arial" w:cs="Arial"/>
        </w:rPr>
        <w:t xml:space="preserve"> au cours du mois de mars</w:t>
      </w:r>
      <w:r w:rsidR="00252935">
        <w:rPr>
          <w:rFonts w:ascii="Arial" w:hAnsi="Arial" w:cs="Arial"/>
        </w:rPr>
        <w:t xml:space="preserve"> et servira de résistance. Tant que le taux ne l’aura pas franchi, la hausse pourra être écartée de l’analyse.</w:t>
      </w:r>
      <w:r w:rsidR="00247289">
        <w:rPr>
          <w:rFonts w:ascii="Arial" w:hAnsi="Arial" w:cs="Arial"/>
        </w:rPr>
        <w:t xml:space="preserve"> La</w:t>
      </w:r>
      <w:r w:rsidR="001B0078">
        <w:rPr>
          <w:rFonts w:ascii="Arial" w:hAnsi="Arial" w:cs="Arial"/>
        </w:rPr>
        <w:t xml:space="preserve"> poursuite de la</w:t>
      </w:r>
      <w:r w:rsidR="00247289">
        <w:rPr>
          <w:rFonts w:ascii="Arial" w:hAnsi="Arial" w:cs="Arial"/>
        </w:rPr>
        <w:t xml:space="preserve"> baisse pourra être envisagée lorsque la LS s’établira </w:t>
      </w:r>
      <w:r w:rsidR="001B0078">
        <w:rPr>
          <w:rFonts w:ascii="Arial" w:hAnsi="Arial" w:cs="Arial"/>
        </w:rPr>
        <w:t xml:space="preserve">durablement </w:t>
      </w:r>
      <w:r w:rsidR="00247289">
        <w:rPr>
          <w:rFonts w:ascii="Arial" w:hAnsi="Arial" w:cs="Arial"/>
        </w:rPr>
        <w:t xml:space="preserve">sous sa TS qui </w:t>
      </w:r>
      <w:r w:rsidR="001B0078">
        <w:rPr>
          <w:rFonts w:ascii="Arial" w:hAnsi="Arial" w:cs="Arial"/>
        </w:rPr>
        <w:t>se situera</w:t>
      </w:r>
      <w:r w:rsidR="00247289">
        <w:rPr>
          <w:rFonts w:ascii="Arial" w:hAnsi="Arial" w:cs="Arial"/>
        </w:rPr>
        <w:t xml:space="preserve"> pour le mois </w:t>
      </w:r>
      <w:r w:rsidR="008E3AAB">
        <w:rPr>
          <w:rFonts w:ascii="Arial" w:hAnsi="Arial" w:cs="Arial"/>
        </w:rPr>
        <w:t xml:space="preserve">de mars </w:t>
      </w:r>
      <w:r w:rsidR="00247289">
        <w:rPr>
          <w:rFonts w:ascii="Arial" w:hAnsi="Arial" w:cs="Arial"/>
        </w:rPr>
        <w:t xml:space="preserve">sur </w:t>
      </w:r>
      <w:r w:rsidR="00207DBB">
        <w:rPr>
          <w:rFonts w:ascii="Arial" w:hAnsi="Arial" w:cs="Arial"/>
        </w:rPr>
        <w:t>+</w:t>
      </w:r>
      <w:r w:rsidR="00247289">
        <w:rPr>
          <w:rFonts w:ascii="Arial" w:hAnsi="Arial" w:cs="Arial"/>
        </w:rPr>
        <w:t>0.14.</w:t>
      </w:r>
    </w:p>
    <w:p w:rsidR="00247289" w:rsidRPr="00247289" w:rsidRDefault="00247289" w:rsidP="00D67E50">
      <w:pPr>
        <w:jc w:val="both"/>
        <w:rPr>
          <w:rFonts w:ascii="Tahoma" w:hAnsi="Tahoma" w:cs="Tahoma"/>
          <w:bCs/>
        </w:rPr>
      </w:pPr>
    </w:p>
    <w:p w:rsidR="00BD7BF2" w:rsidRDefault="003A1222" w:rsidP="00600CBA">
      <w:pPr>
        <w:jc w:val="both"/>
        <w:rPr>
          <w:rFonts w:ascii="Arial" w:hAnsi="Arial" w:cs="Arial"/>
          <w:bCs/>
        </w:rPr>
      </w:pPr>
      <w:r w:rsidRPr="00336487">
        <w:rPr>
          <w:rFonts w:ascii="Arial" w:hAnsi="Arial" w:cs="Arial"/>
          <w:b/>
          <w:bCs/>
        </w:rPr>
        <w:t xml:space="preserve">W : </w:t>
      </w:r>
      <w:r w:rsidR="00636B48">
        <w:rPr>
          <w:rFonts w:ascii="Arial" w:hAnsi="Arial" w:cs="Arial"/>
          <w:bCs/>
        </w:rPr>
        <w:t>Le contexte est baissier sur le moyen terme. Le nu</w:t>
      </w:r>
      <w:r w:rsidR="00086C9D">
        <w:rPr>
          <w:rFonts w:ascii="Arial" w:hAnsi="Arial" w:cs="Arial"/>
          <w:bCs/>
        </w:rPr>
        <w:t>age futur évolue à la baisse et apporte un soutien au développement de la tendance.</w:t>
      </w:r>
    </w:p>
    <w:p w:rsidR="00086C9D" w:rsidRDefault="00086C9D" w:rsidP="00600CBA">
      <w:pPr>
        <w:jc w:val="both"/>
        <w:rPr>
          <w:rFonts w:ascii="Arial" w:hAnsi="Arial" w:cs="Arial"/>
          <w:bCs/>
        </w:rPr>
      </w:pPr>
      <w:r>
        <w:rPr>
          <w:rFonts w:ascii="Arial" w:hAnsi="Arial" w:cs="Arial"/>
          <w:bCs/>
        </w:rPr>
        <w:t>Mais le taux se trouve un peu trop éloigné de sa TS</w:t>
      </w:r>
      <w:r w:rsidR="0037478E">
        <w:rPr>
          <w:rFonts w:ascii="Arial" w:hAnsi="Arial" w:cs="Arial"/>
          <w:bCs/>
        </w:rPr>
        <w:t xml:space="preserve"> de </w:t>
      </w:r>
      <w:r w:rsidR="00207DBB">
        <w:rPr>
          <w:rFonts w:ascii="Arial" w:hAnsi="Arial" w:cs="Arial"/>
          <w:bCs/>
        </w:rPr>
        <w:t>+</w:t>
      </w:r>
      <w:r w:rsidR="0037478E">
        <w:rPr>
          <w:rFonts w:ascii="Arial" w:hAnsi="Arial" w:cs="Arial"/>
          <w:bCs/>
        </w:rPr>
        <w:t>0.16</w:t>
      </w:r>
      <w:r>
        <w:rPr>
          <w:rFonts w:ascii="Arial" w:hAnsi="Arial" w:cs="Arial"/>
          <w:bCs/>
        </w:rPr>
        <w:t xml:space="preserve">, tout comme la TS </w:t>
      </w:r>
      <w:r w:rsidR="00E410A9">
        <w:rPr>
          <w:rFonts w:ascii="Arial" w:hAnsi="Arial" w:cs="Arial"/>
          <w:bCs/>
        </w:rPr>
        <w:t>par rapport à la</w:t>
      </w:r>
      <w:r>
        <w:rPr>
          <w:rFonts w:ascii="Arial" w:hAnsi="Arial" w:cs="Arial"/>
          <w:bCs/>
        </w:rPr>
        <w:t xml:space="preserve"> KS. Une tendance stable, sa</w:t>
      </w:r>
      <w:r w:rsidR="00E410A9">
        <w:rPr>
          <w:rFonts w:ascii="Arial" w:hAnsi="Arial" w:cs="Arial"/>
          <w:bCs/>
        </w:rPr>
        <w:t>ns</w:t>
      </w:r>
      <w:r>
        <w:rPr>
          <w:rFonts w:ascii="Arial" w:hAnsi="Arial" w:cs="Arial"/>
          <w:bCs/>
        </w:rPr>
        <w:t xml:space="preserve"> </w:t>
      </w:r>
      <w:r w:rsidR="00E410A9">
        <w:rPr>
          <w:rFonts w:ascii="Arial" w:hAnsi="Arial" w:cs="Arial"/>
          <w:bCs/>
        </w:rPr>
        <w:t>excés,</w:t>
      </w:r>
      <w:r>
        <w:rPr>
          <w:rFonts w:ascii="Arial" w:hAnsi="Arial" w:cs="Arial"/>
          <w:bCs/>
        </w:rPr>
        <w:t xml:space="preserve"> voit ces courbes évoluer dans une même direction et sur des niveaux relativement proches</w:t>
      </w:r>
      <w:r w:rsidR="00E410A9">
        <w:rPr>
          <w:rFonts w:ascii="Arial" w:hAnsi="Arial" w:cs="Arial"/>
          <w:bCs/>
        </w:rPr>
        <w:t xml:space="preserve"> les uns des autres.</w:t>
      </w:r>
    </w:p>
    <w:p w:rsidR="00086C9D" w:rsidRPr="00336487" w:rsidRDefault="00086C9D" w:rsidP="00600CBA">
      <w:pPr>
        <w:jc w:val="both"/>
        <w:rPr>
          <w:rFonts w:ascii="Arial" w:hAnsi="Arial" w:cs="Arial"/>
          <w:bCs/>
        </w:rPr>
      </w:pPr>
      <w:r>
        <w:rPr>
          <w:rFonts w:ascii="Arial" w:hAnsi="Arial" w:cs="Arial"/>
          <w:bCs/>
        </w:rPr>
        <w:t xml:space="preserve">La situation actuelle demande à être corrigée par un retour en direction de </w:t>
      </w:r>
      <w:r w:rsidR="00207DBB">
        <w:rPr>
          <w:rFonts w:ascii="Arial" w:hAnsi="Arial" w:cs="Arial"/>
          <w:bCs/>
        </w:rPr>
        <w:t>+</w:t>
      </w:r>
      <w:r>
        <w:rPr>
          <w:rFonts w:ascii="Arial" w:hAnsi="Arial" w:cs="Arial"/>
          <w:bCs/>
        </w:rPr>
        <w:t xml:space="preserve">0.16. Sans une correction, les supports que rencontrera le marché </w:t>
      </w:r>
      <w:r w:rsidR="004C27FB">
        <w:rPr>
          <w:rFonts w:ascii="Arial" w:hAnsi="Arial" w:cs="Arial"/>
          <w:bCs/>
        </w:rPr>
        <w:t xml:space="preserve">seront </w:t>
      </w:r>
      <w:r w:rsidR="00E410A9">
        <w:rPr>
          <w:rFonts w:ascii="Arial" w:hAnsi="Arial" w:cs="Arial"/>
          <w:bCs/>
        </w:rPr>
        <w:t xml:space="preserve">plus </w:t>
      </w:r>
      <w:r w:rsidR="004C27FB">
        <w:rPr>
          <w:rFonts w:ascii="Arial" w:hAnsi="Arial" w:cs="Arial"/>
          <w:bCs/>
        </w:rPr>
        <w:t>difficile</w:t>
      </w:r>
      <w:r>
        <w:rPr>
          <w:rFonts w:ascii="Arial" w:hAnsi="Arial" w:cs="Arial"/>
          <w:bCs/>
        </w:rPr>
        <w:t xml:space="preserve"> </w:t>
      </w:r>
      <w:r w:rsidR="00E410A9">
        <w:rPr>
          <w:rFonts w:ascii="Arial" w:hAnsi="Arial" w:cs="Arial"/>
          <w:bCs/>
        </w:rPr>
        <w:t xml:space="preserve">à </w:t>
      </w:r>
      <w:r>
        <w:rPr>
          <w:rFonts w:ascii="Arial" w:hAnsi="Arial" w:cs="Arial"/>
          <w:bCs/>
        </w:rPr>
        <w:t>franchi</w:t>
      </w:r>
      <w:r w:rsidR="00E410A9">
        <w:rPr>
          <w:rFonts w:ascii="Arial" w:hAnsi="Arial" w:cs="Arial"/>
          <w:bCs/>
        </w:rPr>
        <w:t>r</w:t>
      </w:r>
      <w:r>
        <w:rPr>
          <w:rFonts w:ascii="Arial" w:hAnsi="Arial" w:cs="Arial"/>
          <w:bCs/>
        </w:rPr>
        <w:t>.</w:t>
      </w:r>
      <w:r w:rsidR="004C27FB">
        <w:rPr>
          <w:rFonts w:ascii="Arial" w:hAnsi="Arial" w:cs="Arial"/>
          <w:bCs/>
        </w:rPr>
        <w:t xml:space="preserve"> </w:t>
      </w:r>
      <w:r w:rsidR="00E410A9">
        <w:rPr>
          <w:rFonts w:ascii="Arial" w:hAnsi="Arial" w:cs="Arial"/>
          <w:bCs/>
        </w:rPr>
        <w:t>I</w:t>
      </w:r>
      <w:r w:rsidR="004C27FB">
        <w:rPr>
          <w:rFonts w:ascii="Arial" w:hAnsi="Arial" w:cs="Arial"/>
          <w:bCs/>
        </w:rPr>
        <w:t>ls représentent les bas de 2016, soit -0.03, -0.12, -0.16 et -0.20.</w:t>
      </w:r>
    </w:p>
    <w:p w:rsidR="000F7FF2" w:rsidRPr="00336487" w:rsidRDefault="000F7FF2" w:rsidP="00B0131A">
      <w:pPr>
        <w:jc w:val="both"/>
        <w:rPr>
          <w:rFonts w:ascii="Tahoma" w:hAnsi="Tahoma" w:cs="Tahoma"/>
          <w:bCs/>
        </w:rPr>
      </w:pPr>
    </w:p>
    <w:p w:rsidR="00EA10A8" w:rsidRDefault="00A82504" w:rsidP="00600CBA">
      <w:pPr>
        <w:jc w:val="both"/>
        <w:rPr>
          <w:rFonts w:ascii="Arial" w:hAnsi="Arial" w:cs="Arial"/>
          <w:bCs/>
        </w:rPr>
      </w:pPr>
      <w:r w:rsidRPr="008631EB">
        <w:rPr>
          <w:rFonts w:ascii="Arial" w:hAnsi="Arial" w:cs="Arial"/>
          <w:b/>
          <w:bCs/>
        </w:rPr>
        <w:t xml:space="preserve">D : </w:t>
      </w:r>
      <w:r w:rsidR="001F1CAB">
        <w:rPr>
          <w:rFonts w:ascii="Arial" w:hAnsi="Arial" w:cs="Arial"/>
          <w:bCs/>
        </w:rPr>
        <w:t>La</w:t>
      </w:r>
      <w:r w:rsidR="0037478E">
        <w:rPr>
          <w:rFonts w:ascii="Arial" w:hAnsi="Arial" w:cs="Arial"/>
          <w:bCs/>
        </w:rPr>
        <w:t xml:space="preserve"> baisse de court terme a placé le marché dans un environnement suracheté taux qui demande à être corrigé par un retour sur </w:t>
      </w:r>
      <w:r w:rsidR="00207DBB">
        <w:rPr>
          <w:rFonts w:ascii="Arial" w:hAnsi="Arial" w:cs="Arial"/>
          <w:bCs/>
        </w:rPr>
        <w:t>+</w:t>
      </w:r>
      <w:r w:rsidR="0037478E">
        <w:rPr>
          <w:rFonts w:ascii="Arial" w:hAnsi="Arial" w:cs="Arial"/>
          <w:bCs/>
        </w:rPr>
        <w:t>0.12.</w:t>
      </w:r>
      <w:r w:rsidR="001F1CAB">
        <w:rPr>
          <w:rFonts w:ascii="Arial" w:hAnsi="Arial" w:cs="Arial"/>
          <w:bCs/>
        </w:rPr>
        <w:t xml:space="preserve"> </w:t>
      </w:r>
    </w:p>
    <w:p w:rsidR="00207DBB" w:rsidRDefault="00207DBB" w:rsidP="00600CBA">
      <w:pPr>
        <w:jc w:val="both"/>
        <w:rPr>
          <w:rFonts w:ascii="Arial" w:hAnsi="Arial" w:cs="Arial"/>
          <w:bCs/>
        </w:rPr>
      </w:pPr>
      <w:r>
        <w:rPr>
          <w:rFonts w:ascii="Arial" w:hAnsi="Arial" w:cs="Arial"/>
          <w:bCs/>
        </w:rPr>
        <w:t xml:space="preserve">Après un plus bas +0.05, la TS </w:t>
      </w:r>
      <w:r w:rsidR="00FB6C16">
        <w:rPr>
          <w:rFonts w:ascii="Arial" w:hAnsi="Arial" w:cs="Arial"/>
          <w:bCs/>
        </w:rPr>
        <w:t xml:space="preserve">pourrait se stabiliser sur le niveau de +0.12 pour servir de résistance en </w:t>
      </w:r>
      <w:r w:rsidR="001F1C79">
        <w:rPr>
          <w:rFonts w:ascii="Arial" w:hAnsi="Arial" w:cs="Arial"/>
          <w:bCs/>
        </w:rPr>
        <w:t xml:space="preserve">cas de </w:t>
      </w:r>
      <w:r w:rsidR="00FB6C16">
        <w:rPr>
          <w:rFonts w:ascii="Arial" w:hAnsi="Arial" w:cs="Arial"/>
          <w:bCs/>
        </w:rPr>
        <w:t>correction du marché. Elle sera renforcée par la KS qui s’aplatira sur le même niveau.</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66058B" w:rsidRPr="00013B8A" w:rsidRDefault="00F72829" w:rsidP="00600CBA">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xml:space="preserve"> : </w:t>
      </w:r>
      <w:r w:rsidR="0066058B">
        <w:rPr>
          <w:rFonts w:ascii="Arial" w:hAnsi="Arial" w:cs="Arial"/>
          <w:b/>
          <w:color w:val="00B050"/>
        </w:rPr>
        <w:t>L</w:t>
      </w:r>
      <w:r w:rsidR="00744F5B">
        <w:rPr>
          <w:rFonts w:ascii="Arial" w:hAnsi="Arial" w:cs="Arial"/>
          <w:b/>
          <w:color w:val="00B050"/>
        </w:rPr>
        <w:t>e biais est baissier sous 0.14 mais le marché est à nouveau surtendu. Une correction limitée à +0.12, voire +0.14 permettra de renforcer le mouvement de baisse et d’envisager la première cible de -0.03</w:t>
      </w:r>
      <w:r w:rsidR="001F1C79">
        <w:rPr>
          <w:rFonts w:ascii="Arial" w:hAnsi="Arial" w:cs="Arial"/>
          <w:b/>
          <w:color w:val="00B050"/>
        </w:rPr>
        <w:t>,</w:t>
      </w:r>
      <w:r w:rsidR="00744F5B">
        <w:rPr>
          <w:rFonts w:ascii="Arial" w:hAnsi="Arial" w:cs="Arial"/>
          <w:b/>
          <w:color w:val="00B050"/>
        </w:rPr>
        <w:t xml:space="preserve"> en territoire négatif.</w:t>
      </w:r>
      <w:r w:rsidR="0066058B">
        <w:rPr>
          <w:rFonts w:ascii="Arial" w:hAnsi="Arial" w:cs="Arial"/>
          <w:b/>
          <w:color w:val="00B050"/>
        </w:rPr>
        <w:t xml:space="preserve"> </w:t>
      </w:r>
    </w:p>
    <w:p w:rsidR="0066058B" w:rsidRDefault="0066058B" w:rsidP="00F72829">
      <w:pPr>
        <w:jc w:val="both"/>
        <w:rPr>
          <w:rFonts w:ascii="Arial" w:hAnsi="Arial" w:cs="Arial"/>
          <w:b/>
          <w:color w:val="00B050"/>
        </w:rPr>
      </w:pPr>
    </w:p>
    <w:p w:rsidR="009E0BEE" w:rsidRDefault="009E0BEE" w:rsidP="00F72829">
      <w:pPr>
        <w:jc w:val="both"/>
        <w:rPr>
          <w:rFonts w:ascii="Arial" w:hAnsi="Arial" w:cs="Arial"/>
          <w:b/>
          <w:color w:val="00B050"/>
        </w:rPr>
      </w:pPr>
    </w:p>
    <w:p w:rsidR="00FE1FD4" w:rsidRPr="000F7306" w:rsidRDefault="00FE1FD4" w:rsidP="00F72829">
      <w:pPr>
        <w:jc w:val="both"/>
        <w:rPr>
          <w:rFonts w:ascii="Arial" w:hAnsi="Arial" w:cs="Arial"/>
          <w:b/>
          <w:color w:val="00B050"/>
        </w:rPr>
      </w:pPr>
    </w:p>
    <w:p w:rsidR="00F72829" w:rsidRPr="00FA6761"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FA6761">
        <w:rPr>
          <w:rFonts w:ascii="Arial" w:hAnsi="Arial" w:cs="Arial"/>
          <w:b/>
          <w:bCs/>
          <w:sz w:val="36"/>
          <w:szCs w:val="36"/>
          <w:u w:val="single"/>
          <w:lang w:val="en-US"/>
        </w:rPr>
        <w:t xml:space="preserve">10 ans USA </w:t>
      </w:r>
    </w:p>
    <w:p w:rsidR="00F72829" w:rsidRPr="00FA6761" w:rsidRDefault="00F72829" w:rsidP="00BE257A">
      <w:pPr>
        <w:jc w:val="both"/>
        <w:rPr>
          <w:rFonts w:ascii="Arial" w:hAnsi="Arial" w:cs="Arial"/>
          <w:b/>
          <w:sz w:val="28"/>
          <w:szCs w:val="28"/>
          <w:u w:val="single"/>
          <w:lang w:val="en-US"/>
        </w:rPr>
      </w:pPr>
      <w:r w:rsidRPr="00FA6761">
        <w:rPr>
          <w:rFonts w:ascii="Arial" w:hAnsi="Arial" w:cs="Arial"/>
          <w:b/>
          <w:sz w:val="28"/>
          <w:szCs w:val="28"/>
          <w:u w:val="single"/>
          <w:lang w:val="en-US"/>
        </w:rPr>
        <w:t>Monthly</w:t>
      </w:r>
    </w:p>
    <w:p w:rsidR="00B03AED" w:rsidRPr="00FA6761" w:rsidRDefault="009712D5" w:rsidP="00687F45">
      <w:pPr>
        <w:jc w:val="both"/>
        <w:rPr>
          <w:rFonts w:ascii="Arial" w:hAnsi="Arial" w:cs="Arial"/>
          <w:b/>
          <w:bCs/>
          <w:sz w:val="28"/>
          <w:szCs w:val="28"/>
          <w:u w:val="single"/>
          <w:lang w:val="en-US"/>
        </w:rPr>
      </w:pPr>
      <w:r w:rsidRPr="009712D5">
        <w:rPr>
          <w:rFonts w:ascii="Arial" w:hAnsi="Arial" w:cs="Arial"/>
          <w:b/>
          <w:bCs/>
          <w:noProof/>
          <w:sz w:val="28"/>
          <w:szCs w:val="28"/>
          <w:u w:val="single"/>
        </w:rPr>
        <w:drawing>
          <wp:inline distT="0" distB="0" distL="0" distR="0">
            <wp:extent cx="6645330" cy="4145280"/>
            <wp:effectExtent l="0" t="0" r="3175" b="7620"/>
            <wp:docPr id="4" name="Image 4" descr="C:\Users\EPBFIA~1\AppData\Local\Temp\Bloomberg\temp\bfm419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419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350" cy="4145916"/>
                    </a:xfrm>
                    <a:prstGeom prst="rect">
                      <a:avLst/>
                    </a:prstGeom>
                    <a:noFill/>
                    <a:ln>
                      <a:noFill/>
                    </a:ln>
                  </pic:spPr>
                </pic:pic>
              </a:graphicData>
            </a:graphic>
          </wp:inline>
        </w:drawing>
      </w:r>
    </w:p>
    <w:p w:rsidR="00B03AED" w:rsidRPr="00FA6761" w:rsidRDefault="00B03AED" w:rsidP="006E6472">
      <w:pPr>
        <w:jc w:val="both"/>
        <w:rPr>
          <w:rFonts w:ascii="Arial" w:hAnsi="Arial" w:cs="Arial"/>
          <w:b/>
          <w:bCs/>
          <w:sz w:val="28"/>
          <w:szCs w:val="28"/>
          <w:u w:val="single"/>
          <w:lang w:val="en-US"/>
        </w:rPr>
      </w:pPr>
      <w:r w:rsidRPr="00FA6761">
        <w:rPr>
          <w:rFonts w:ascii="Arial" w:hAnsi="Arial" w:cs="Arial"/>
          <w:b/>
          <w:bCs/>
          <w:sz w:val="28"/>
          <w:szCs w:val="28"/>
          <w:u w:val="single"/>
          <w:lang w:val="en-US"/>
        </w:rPr>
        <w:t>Weekly</w:t>
      </w:r>
    </w:p>
    <w:p w:rsidR="00A85203" w:rsidRPr="00FA6761" w:rsidRDefault="009712D5" w:rsidP="00126BB5">
      <w:pPr>
        <w:ind w:left="-283"/>
        <w:jc w:val="both"/>
        <w:rPr>
          <w:rFonts w:ascii="Arial" w:hAnsi="Arial" w:cs="Arial"/>
          <w:b/>
          <w:bCs/>
          <w:sz w:val="28"/>
          <w:szCs w:val="28"/>
          <w:u w:val="single"/>
          <w:lang w:val="en-US"/>
        </w:rPr>
      </w:pPr>
      <w:r w:rsidRPr="009712D5">
        <w:rPr>
          <w:rFonts w:ascii="Arial" w:hAnsi="Arial" w:cs="Arial"/>
          <w:b/>
          <w:bCs/>
          <w:noProof/>
          <w:sz w:val="28"/>
          <w:szCs w:val="28"/>
          <w:u w:val="single"/>
        </w:rPr>
        <w:drawing>
          <wp:inline distT="0" distB="0" distL="0" distR="0">
            <wp:extent cx="6645330" cy="4351020"/>
            <wp:effectExtent l="0" t="0" r="3175" b="0"/>
            <wp:docPr id="5" name="Image 5" descr="C:\Users\EPBFIA~1\AppData\Local\Temp\Bloomberg\temp\bfmA90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A90B.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240" cy="4351616"/>
                    </a:xfrm>
                    <a:prstGeom prst="rect">
                      <a:avLst/>
                    </a:prstGeom>
                    <a:noFill/>
                    <a:ln>
                      <a:noFill/>
                    </a:ln>
                  </pic:spPr>
                </pic:pic>
              </a:graphicData>
            </a:graphic>
          </wp:inline>
        </w:drawing>
      </w:r>
    </w:p>
    <w:p w:rsidR="00733AD4" w:rsidRPr="00FA6761" w:rsidRDefault="00A30EF5" w:rsidP="00E81EBB">
      <w:pPr>
        <w:ind w:left="-850"/>
        <w:jc w:val="both"/>
        <w:rPr>
          <w:rFonts w:ascii="Arial" w:hAnsi="Arial" w:cs="Arial"/>
          <w:b/>
          <w:bCs/>
          <w:sz w:val="28"/>
          <w:szCs w:val="28"/>
          <w:u w:val="single"/>
          <w:lang w:val="en-US"/>
        </w:rPr>
      </w:pPr>
      <w:r w:rsidRPr="00FA6761">
        <w:rPr>
          <w:rFonts w:ascii="Arial" w:hAnsi="Arial" w:cs="Arial"/>
          <w:b/>
          <w:bCs/>
          <w:sz w:val="28"/>
          <w:szCs w:val="28"/>
          <w:lang w:val="en-US"/>
        </w:rPr>
        <w:lastRenderedPageBreak/>
        <w:t xml:space="preserve">       </w:t>
      </w:r>
      <w:r w:rsidR="00B4277F" w:rsidRPr="00FA6761">
        <w:rPr>
          <w:rFonts w:ascii="Arial" w:hAnsi="Arial" w:cs="Arial"/>
          <w:b/>
          <w:bCs/>
          <w:sz w:val="28"/>
          <w:szCs w:val="28"/>
          <w:lang w:val="en-US"/>
        </w:rPr>
        <w:t xml:space="preserve">   </w:t>
      </w:r>
      <w:r w:rsidR="00B03AED" w:rsidRPr="00FA6761">
        <w:rPr>
          <w:rFonts w:ascii="Arial" w:hAnsi="Arial" w:cs="Arial"/>
          <w:b/>
          <w:bCs/>
          <w:sz w:val="28"/>
          <w:szCs w:val="28"/>
          <w:u w:val="single"/>
          <w:lang w:val="en-US"/>
        </w:rPr>
        <w:t xml:space="preserve">Daily </w:t>
      </w:r>
    </w:p>
    <w:p w:rsidR="00A17C7A" w:rsidRPr="00FA6761" w:rsidRDefault="009712D5" w:rsidP="008D238B">
      <w:pPr>
        <w:jc w:val="both"/>
        <w:rPr>
          <w:rFonts w:ascii="Arial" w:hAnsi="Arial" w:cs="Arial"/>
          <w:b/>
          <w:bCs/>
          <w:sz w:val="28"/>
          <w:szCs w:val="28"/>
          <w:u w:val="single"/>
          <w:lang w:val="en-US"/>
        </w:rPr>
      </w:pPr>
      <w:r w:rsidRPr="009712D5">
        <w:rPr>
          <w:rFonts w:ascii="Arial" w:hAnsi="Arial" w:cs="Arial"/>
          <w:b/>
          <w:bCs/>
          <w:noProof/>
          <w:sz w:val="28"/>
          <w:szCs w:val="28"/>
          <w:u w:val="single"/>
        </w:rPr>
        <w:drawing>
          <wp:inline distT="0" distB="0" distL="0" distR="0">
            <wp:extent cx="6645330" cy="4229100"/>
            <wp:effectExtent l="0" t="0" r="3175" b="0"/>
            <wp:docPr id="6" name="Image 6" descr="C:\Users\EPBFIA~1\AppData\Local\Temp\Bloomberg\temp\bfm99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99A.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350" cy="4229749"/>
                    </a:xfrm>
                    <a:prstGeom prst="rect">
                      <a:avLst/>
                    </a:prstGeom>
                    <a:noFill/>
                    <a:ln>
                      <a:noFill/>
                    </a:ln>
                  </pic:spPr>
                </pic:pic>
              </a:graphicData>
            </a:graphic>
          </wp:inline>
        </w:drawing>
      </w:r>
    </w:p>
    <w:p w:rsidR="005A74A9" w:rsidRPr="00E1311A" w:rsidRDefault="005A74A9" w:rsidP="005255A2">
      <w:pPr>
        <w:tabs>
          <w:tab w:val="left" w:pos="5868"/>
        </w:tabs>
        <w:autoSpaceDE w:val="0"/>
        <w:jc w:val="both"/>
        <w:rPr>
          <w:rFonts w:ascii="Arial" w:hAnsi="Arial" w:cs="Arial"/>
          <w:b/>
          <w:bCs/>
          <w:sz w:val="28"/>
          <w:szCs w:val="28"/>
          <w:u w:val="single"/>
        </w:rPr>
      </w:pPr>
    </w:p>
    <w:p w:rsidR="005A2FC4" w:rsidRDefault="00D2583B" w:rsidP="00E53ADF">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E808AE" w:rsidRPr="005A2FC4">
        <w:rPr>
          <w:rFonts w:ascii="Tahoma" w:hAnsi="Tahoma" w:cs="Tahoma"/>
        </w:rPr>
        <w:t>L</w:t>
      </w:r>
      <w:r w:rsidR="002D173D">
        <w:rPr>
          <w:rFonts w:ascii="Tahoma" w:hAnsi="Tahoma" w:cs="Tahoma"/>
        </w:rPr>
        <w:t xml:space="preserve">es plats se poursuivent sur le long terme </w:t>
      </w:r>
      <w:r w:rsidR="00FE1FD4">
        <w:rPr>
          <w:rFonts w:ascii="Tahoma" w:hAnsi="Tahoma" w:cs="Tahoma"/>
        </w:rPr>
        <w:t>avec une</w:t>
      </w:r>
      <w:r w:rsidR="002D173D">
        <w:rPr>
          <w:rFonts w:ascii="Tahoma" w:hAnsi="Tahoma" w:cs="Tahoma"/>
        </w:rPr>
        <w:t xml:space="preserve"> KS </w:t>
      </w:r>
      <w:r w:rsidR="00FE1FD4">
        <w:rPr>
          <w:rFonts w:ascii="Tahoma" w:hAnsi="Tahoma" w:cs="Tahoma"/>
        </w:rPr>
        <w:t xml:space="preserve">qui </w:t>
      </w:r>
      <w:r w:rsidR="002D173D">
        <w:rPr>
          <w:rFonts w:ascii="Tahoma" w:hAnsi="Tahoma" w:cs="Tahoma"/>
        </w:rPr>
        <w:t>ser</w:t>
      </w:r>
      <w:r w:rsidR="00FE1FD4">
        <w:rPr>
          <w:rFonts w:ascii="Tahoma" w:hAnsi="Tahoma" w:cs="Tahoma"/>
        </w:rPr>
        <w:t>t</w:t>
      </w:r>
      <w:r w:rsidR="002D173D">
        <w:rPr>
          <w:rFonts w:ascii="Tahoma" w:hAnsi="Tahoma" w:cs="Tahoma"/>
        </w:rPr>
        <w:t xml:space="preserve"> de support sur 2.63 et </w:t>
      </w:r>
      <w:r w:rsidR="00FE1FD4">
        <w:rPr>
          <w:rFonts w:ascii="Tahoma" w:hAnsi="Tahoma" w:cs="Tahoma"/>
        </w:rPr>
        <w:t>une</w:t>
      </w:r>
      <w:r w:rsidR="002D173D">
        <w:rPr>
          <w:rFonts w:ascii="Tahoma" w:hAnsi="Tahoma" w:cs="Tahoma"/>
        </w:rPr>
        <w:t xml:space="preserve"> TS </w:t>
      </w:r>
      <w:r w:rsidR="00FE1FD4">
        <w:rPr>
          <w:rFonts w:ascii="Tahoma" w:hAnsi="Tahoma" w:cs="Tahoma"/>
        </w:rPr>
        <w:t>en</w:t>
      </w:r>
      <w:r w:rsidR="002D173D">
        <w:rPr>
          <w:rFonts w:ascii="Tahoma" w:hAnsi="Tahoma" w:cs="Tahoma"/>
        </w:rPr>
        <w:t xml:space="preserve"> résistance sur 2.90.</w:t>
      </w:r>
    </w:p>
    <w:p w:rsidR="00B30621" w:rsidRPr="005A2FC4" w:rsidRDefault="00B30621" w:rsidP="00E53ADF">
      <w:pPr>
        <w:tabs>
          <w:tab w:val="left" w:pos="5868"/>
        </w:tabs>
        <w:autoSpaceDE w:val="0"/>
        <w:jc w:val="both"/>
        <w:rPr>
          <w:rFonts w:ascii="Tahoma" w:hAnsi="Tahoma" w:cs="Tahoma"/>
        </w:rPr>
      </w:pPr>
      <w:r>
        <w:rPr>
          <w:rFonts w:ascii="Tahoma" w:hAnsi="Tahoma" w:cs="Tahoma"/>
        </w:rPr>
        <w:t>Ces nombreux plats indiquent que le 10 ans n’est pas en tendance</w:t>
      </w:r>
      <w:r w:rsidR="005A74A9">
        <w:rPr>
          <w:rFonts w:ascii="Tahoma" w:hAnsi="Tahoma" w:cs="Tahoma"/>
        </w:rPr>
        <w:t xml:space="preserve"> sur le long terme</w:t>
      </w:r>
      <w:r>
        <w:rPr>
          <w:rFonts w:ascii="Tahoma" w:hAnsi="Tahoma" w:cs="Tahoma"/>
        </w:rPr>
        <w:t xml:space="preserve">. Quoi qu’il en soit, l’environnement est haussier sur </w:t>
      </w:r>
      <w:r w:rsidR="00AB1287">
        <w:rPr>
          <w:rFonts w:ascii="Tahoma" w:hAnsi="Tahoma" w:cs="Tahoma"/>
        </w:rPr>
        <w:t>cette unité</w:t>
      </w:r>
      <w:r>
        <w:rPr>
          <w:rFonts w:ascii="Tahoma" w:hAnsi="Tahoma" w:cs="Tahoma"/>
        </w:rPr>
        <w:t xml:space="preserve"> de temps.</w:t>
      </w:r>
    </w:p>
    <w:p w:rsidR="00D8157E" w:rsidRPr="005A2FC4" w:rsidRDefault="00D8157E" w:rsidP="00D2583B">
      <w:pPr>
        <w:tabs>
          <w:tab w:val="left" w:pos="5868"/>
        </w:tabs>
        <w:autoSpaceDE w:val="0"/>
        <w:jc w:val="both"/>
        <w:rPr>
          <w:rFonts w:ascii="Tahoma" w:hAnsi="Tahoma" w:cs="Tahoma"/>
        </w:rPr>
      </w:pPr>
    </w:p>
    <w:p w:rsidR="00A17C7A" w:rsidRDefault="00D2583B" w:rsidP="00600CBA">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5A74A9">
        <w:rPr>
          <w:rFonts w:ascii="Arial" w:hAnsi="Arial" w:cs="Arial"/>
          <w:bCs/>
        </w:rPr>
        <w:t>La baisse du 10 ans a ramené le marché sur la bordure basse de son nuage. Elle se situera pour la semaine sur 2.6</w:t>
      </w:r>
      <w:r w:rsidR="00414CFD">
        <w:rPr>
          <w:rFonts w:ascii="Arial" w:hAnsi="Arial" w:cs="Arial"/>
          <w:bCs/>
        </w:rPr>
        <w:t>7</w:t>
      </w:r>
      <w:r w:rsidR="005A74A9">
        <w:rPr>
          <w:rFonts w:ascii="Arial" w:hAnsi="Arial" w:cs="Arial"/>
          <w:bCs/>
        </w:rPr>
        <w:t xml:space="preserve">. Une cassure </w:t>
      </w:r>
      <w:r w:rsidR="001A6E49">
        <w:rPr>
          <w:rFonts w:ascii="Arial" w:hAnsi="Arial" w:cs="Arial"/>
          <w:bCs/>
        </w:rPr>
        <w:t xml:space="preserve">pourra être temporaire, c’est pour cette raison  qu’elle </w:t>
      </w:r>
      <w:r w:rsidR="005A74A9">
        <w:rPr>
          <w:rFonts w:ascii="Arial" w:hAnsi="Arial" w:cs="Arial"/>
          <w:bCs/>
        </w:rPr>
        <w:t>devra être confirmée par un retour du 10 ans sous les précédents supports de 2.57</w:t>
      </w:r>
      <w:r w:rsidR="00420BCE">
        <w:rPr>
          <w:rFonts w:ascii="Arial" w:hAnsi="Arial" w:cs="Arial"/>
          <w:bCs/>
        </w:rPr>
        <w:t>-2.54 soit respectivement un plat de nuage passé et le point bas du début de l’année.</w:t>
      </w:r>
    </w:p>
    <w:p w:rsidR="00420BCE" w:rsidRDefault="00420BCE" w:rsidP="00600CBA">
      <w:pPr>
        <w:jc w:val="both"/>
        <w:rPr>
          <w:rFonts w:ascii="Arial" w:hAnsi="Arial" w:cs="Arial"/>
          <w:bCs/>
        </w:rPr>
      </w:pPr>
      <w:r>
        <w:rPr>
          <w:rFonts w:ascii="Arial" w:hAnsi="Arial" w:cs="Arial"/>
          <w:bCs/>
        </w:rPr>
        <w:t xml:space="preserve">Sur cette unité de temps, la cassure </w:t>
      </w:r>
      <w:r w:rsidR="003219C6">
        <w:rPr>
          <w:rFonts w:ascii="Arial" w:hAnsi="Arial" w:cs="Arial"/>
          <w:bCs/>
        </w:rPr>
        <w:t xml:space="preserve">définitive </w:t>
      </w:r>
      <w:r>
        <w:rPr>
          <w:rFonts w:ascii="Arial" w:hAnsi="Arial" w:cs="Arial"/>
          <w:bCs/>
        </w:rPr>
        <w:t>de 2.6</w:t>
      </w:r>
      <w:r w:rsidR="003219C6">
        <w:rPr>
          <w:rFonts w:ascii="Arial" w:hAnsi="Arial" w:cs="Arial"/>
          <w:bCs/>
        </w:rPr>
        <w:t>7</w:t>
      </w:r>
      <w:r>
        <w:rPr>
          <w:rFonts w:ascii="Arial" w:hAnsi="Arial" w:cs="Arial"/>
          <w:bCs/>
        </w:rPr>
        <w:t xml:space="preserve"> remettra en partie l’environnement haussier de moyen terme mais il faudra attendre que la LS s’installe durablement sous son plat de nuage de 2.48 pour valider un changement de contexte sur cet horizon de temps</w:t>
      </w:r>
    </w:p>
    <w:p w:rsidR="00FF1ED0" w:rsidRPr="00D624A8" w:rsidRDefault="00FF1ED0" w:rsidP="00CF690F">
      <w:pPr>
        <w:jc w:val="both"/>
        <w:rPr>
          <w:rFonts w:ascii="Tahoma" w:hAnsi="Tahoma" w:cs="Tahoma"/>
        </w:rPr>
      </w:pPr>
    </w:p>
    <w:p w:rsidR="00BB6761" w:rsidRDefault="003D663C" w:rsidP="00600CBA">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5513C3">
        <w:rPr>
          <w:rFonts w:ascii="Arial" w:hAnsi="Arial" w:cs="Arial"/>
          <w:bCs/>
        </w:rPr>
        <w:t>L</w:t>
      </w:r>
      <w:r w:rsidR="00A17C7A">
        <w:rPr>
          <w:rFonts w:ascii="Arial" w:hAnsi="Arial" w:cs="Arial"/>
          <w:bCs/>
        </w:rPr>
        <w:t xml:space="preserve">a </w:t>
      </w:r>
      <w:r w:rsidR="00131133">
        <w:rPr>
          <w:rFonts w:ascii="Arial" w:hAnsi="Arial" w:cs="Arial"/>
          <w:bCs/>
        </w:rPr>
        <w:t>sortie haussière du triangle a permis au marché de venir chercher son objectif théorique avant de repartir à la baisse.</w:t>
      </w:r>
    </w:p>
    <w:p w:rsidR="00131133" w:rsidRDefault="00131133" w:rsidP="00600CBA">
      <w:pPr>
        <w:jc w:val="both"/>
        <w:rPr>
          <w:rFonts w:ascii="Arial" w:hAnsi="Arial" w:cs="Arial"/>
          <w:bCs/>
        </w:rPr>
      </w:pPr>
      <w:r>
        <w:rPr>
          <w:rFonts w:ascii="Arial" w:hAnsi="Arial" w:cs="Arial"/>
          <w:bCs/>
        </w:rPr>
        <w:t xml:space="preserve">Le taux devra </w:t>
      </w:r>
      <w:r w:rsidR="002207F0">
        <w:rPr>
          <w:rFonts w:ascii="Arial" w:hAnsi="Arial" w:cs="Arial"/>
          <w:bCs/>
        </w:rPr>
        <w:t xml:space="preserve">maintenant </w:t>
      </w:r>
      <w:r>
        <w:rPr>
          <w:rFonts w:ascii="Arial" w:hAnsi="Arial" w:cs="Arial"/>
          <w:bCs/>
        </w:rPr>
        <w:t xml:space="preserve">s’établir sous 2.62 pour envisager une baisse sur les supports </w:t>
      </w:r>
      <w:r w:rsidR="002207F0">
        <w:rPr>
          <w:rFonts w:ascii="Arial" w:hAnsi="Arial" w:cs="Arial"/>
          <w:bCs/>
        </w:rPr>
        <w:t>de</w:t>
      </w:r>
      <w:r>
        <w:rPr>
          <w:rFonts w:ascii="Arial" w:hAnsi="Arial" w:cs="Arial"/>
          <w:bCs/>
        </w:rPr>
        <w:t xml:space="preserve"> moyen</w:t>
      </w:r>
      <w:r w:rsidR="002207F0">
        <w:rPr>
          <w:rFonts w:ascii="Arial" w:hAnsi="Arial" w:cs="Arial"/>
          <w:bCs/>
        </w:rPr>
        <w:t xml:space="preserve"> et de long</w:t>
      </w:r>
      <w:r>
        <w:rPr>
          <w:rFonts w:ascii="Arial" w:hAnsi="Arial" w:cs="Arial"/>
          <w:bCs/>
        </w:rPr>
        <w:t xml:space="preserve"> terme.</w:t>
      </w:r>
    </w:p>
    <w:p w:rsidR="00131133" w:rsidRPr="00AE4E8D" w:rsidRDefault="00131133" w:rsidP="00600CBA">
      <w:pPr>
        <w:jc w:val="both"/>
        <w:rPr>
          <w:rFonts w:ascii="Arial" w:hAnsi="Arial" w:cs="Arial"/>
          <w:bCs/>
        </w:rPr>
      </w:pPr>
      <w:r>
        <w:rPr>
          <w:rFonts w:ascii="Arial" w:hAnsi="Arial" w:cs="Arial"/>
          <w:bCs/>
        </w:rPr>
        <w:t xml:space="preserve">Sur cette unité de temps, la bordure basse du nuage se situera sur le niveau de 2.68. </w:t>
      </w:r>
      <w:r w:rsidR="002207F0">
        <w:rPr>
          <w:rFonts w:ascii="Arial" w:hAnsi="Arial" w:cs="Arial"/>
          <w:bCs/>
        </w:rPr>
        <w:t xml:space="preserve">Cette SSA renforcera le point de 2.67 évoqué sur l’unité de temps supérieure. </w:t>
      </w:r>
      <w:r>
        <w:rPr>
          <w:rFonts w:ascii="Arial" w:hAnsi="Arial" w:cs="Arial"/>
          <w:bCs/>
        </w:rPr>
        <w:t>En tenue du marché sous ce point la hausse pourra être écartée.</w:t>
      </w:r>
    </w:p>
    <w:p w:rsidR="00621305" w:rsidRDefault="00621305" w:rsidP="006E6472">
      <w:pPr>
        <w:jc w:val="both"/>
        <w:rPr>
          <w:rFonts w:ascii="Tahoma" w:hAnsi="Tahoma" w:cs="Tahoma"/>
        </w:rPr>
      </w:pPr>
    </w:p>
    <w:p w:rsidR="00F72F88" w:rsidRPr="00636A76" w:rsidRDefault="00F72F88" w:rsidP="006E6472">
      <w:pPr>
        <w:jc w:val="both"/>
        <w:rPr>
          <w:rFonts w:ascii="Tahoma" w:hAnsi="Tahoma" w:cs="Tahoma"/>
        </w:rPr>
      </w:pPr>
    </w:p>
    <w:p w:rsidR="00543F77" w:rsidRDefault="00F72829" w:rsidP="007A24CA">
      <w:pPr>
        <w:jc w:val="both"/>
        <w:rPr>
          <w:rFonts w:ascii="Arial" w:hAnsi="Arial" w:cs="Arial"/>
          <w:b/>
          <w:color w:val="00B050"/>
        </w:rPr>
      </w:pPr>
      <w:r w:rsidRPr="00637D32">
        <w:rPr>
          <w:rFonts w:ascii="Arial" w:hAnsi="Arial" w:cs="Arial"/>
          <w:b/>
          <w:color w:val="00B050"/>
          <w:u w:val="single"/>
        </w:rPr>
        <w:t>HEBDOMADAIRE</w:t>
      </w:r>
      <w:r w:rsidRPr="00637D32">
        <w:rPr>
          <w:rFonts w:ascii="Arial" w:hAnsi="Arial" w:cs="Arial"/>
          <w:b/>
          <w:color w:val="00B050"/>
        </w:rPr>
        <w:t xml:space="preserve"> : </w:t>
      </w:r>
      <w:r w:rsidR="00131133">
        <w:rPr>
          <w:rFonts w:ascii="Arial" w:hAnsi="Arial" w:cs="Arial"/>
          <w:b/>
          <w:color w:val="00B050"/>
        </w:rPr>
        <w:t>La baisse a ramené le marché sur ses supports. Une cassure de 2.57-2.54 permettra d’envisager une poursuite de la baisse sur le support majeur de 2.48. Au cours de la semaine, un maintien du taux sous 2.68 permettra d’écarter un retour de la hausse.</w:t>
      </w:r>
    </w:p>
    <w:p w:rsidR="009933C4" w:rsidRPr="00637D32" w:rsidRDefault="00F72F88" w:rsidP="007A24CA">
      <w:pPr>
        <w:jc w:val="both"/>
        <w:rPr>
          <w:rFonts w:ascii="Arial" w:hAnsi="Arial" w:cs="Arial"/>
          <w:b/>
          <w:color w:val="00B050"/>
        </w:rPr>
      </w:pPr>
      <w:r w:rsidRPr="00637D32">
        <w:rPr>
          <w:rFonts w:ascii="Arial" w:hAnsi="Arial" w:cs="Arial"/>
          <w:b/>
          <w:color w:val="00B050"/>
        </w:rPr>
        <w:t xml:space="preserve"> </w:t>
      </w:r>
      <w:bookmarkStart w:id="2" w:name="_GoBack"/>
      <w:bookmarkEnd w:id="2"/>
    </w:p>
    <w:bookmarkEnd w:id="0"/>
    <w:sectPr w:rsidR="009933C4" w:rsidRPr="00637D32"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9712D5">
          <w:rPr>
            <w:noProof/>
          </w:rPr>
          <w:t>12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09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5DB"/>
    <w:rsid w:val="00003BB4"/>
    <w:rsid w:val="000043C9"/>
    <w:rsid w:val="000045D0"/>
    <w:rsid w:val="00006317"/>
    <w:rsid w:val="00006573"/>
    <w:rsid w:val="00006718"/>
    <w:rsid w:val="000103AA"/>
    <w:rsid w:val="00011200"/>
    <w:rsid w:val="00012766"/>
    <w:rsid w:val="00013B8A"/>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C9D"/>
    <w:rsid w:val="00086EFC"/>
    <w:rsid w:val="000874DF"/>
    <w:rsid w:val="000902F5"/>
    <w:rsid w:val="00090B79"/>
    <w:rsid w:val="00093D02"/>
    <w:rsid w:val="00093DF2"/>
    <w:rsid w:val="00094EB3"/>
    <w:rsid w:val="0009578D"/>
    <w:rsid w:val="0009601D"/>
    <w:rsid w:val="000A0E9B"/>
    <w:rsid w:val="000A320E"/>
    <w:rsid w:val="000A3D69"/>
    <w:rsid w:val="000A4A04"/>
    <w:rsid w:val="000A6B9D"/>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6E49"/>
    <w:rsid w:val="001A70FB"/>
    <w:rsid w:val="001A7163"/>
    <w:rsid w:val="001B0078"/>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19C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399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65AF"/>
    <w:rsid w:val="004468CC"/>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637"/>
    <w:rsid w:val="004C0997"/>
    <w:rsid w:val="004C107D"/>
    <w:rsid w:val="004C1D94"/>
    <w:rsid w:val="004C27FB"/>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4A9"/>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0CBA"/>
    <w:rsid w:val="0060114F"/>
    <w:rsid w:val="0060274E"/>
    <w:rsid w:val="00602AC0"/>
    <w:rsid w:val="00602F07"/>
    <w:rsid w:val="00604681"/>
    <w:rsid w:val="00604816"/>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79C"/>
    <w:rsid w:val="00650C73"/>
    <w:rsid w:val="00652F6E"/>
    <w:rsid w:val="0065391F"/>
    <w:rsid w:val="00653DBA"/>
    <w:rsid w:val="00654221"/>
    <w:rsid w:val="00654B9A"/>
    <w:rsid w:val="0065522D"/>
    <w:rsid w:val="0066004C"/>
    <w:rsid w:val="0066058B"/>
    <w:rsid w:val="006641B7"/>
    <w:rsid w:val="006701A6"/>
    <w:rsid w:val="00670CF7"/>
    <w:rsid w:val="00673AB2"/>
    <w:rsid w:val="00675360"/>
    <w:rsid w:val="0067627F"/>
    <w:rsid w:val="00676870"/>
    <w:rsid w:val="00681617"/>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C0C"/>
    <w:rsid w:val="006D3D0E"/>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3874"/>
    <w:rsid w:val="00744233"/>
    <w:rsid w:val="007447D8"/>
    <w:rsid w:val="00744F5B"/>
    <w:rsid w:val="00746A4F"/>
    <w:rsid w:val="007514B1"/>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4757"/>
    <w:rsid w:val="00B25375"/>
    <w:rsid w:val="00B25A1B"/>
    <w:rsid w:val="00B27301"/>
    <w:rsid w:val="00B30621"/>
    <w:rsid w:val="00B30D14"/>
    <w:rsid w:val="00B30DFC"/>
    <w:rsid w:val="00B32C34"/>
    <w:rsid w:val="00B35114"/>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3FD"/>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1897"/>
    <w:rsid w:val="00CC24D5"/>
    <w:rsid w:val="00CC3773"/>
    <w:rsid w:val="00CC4362"/>
    <w:rsid w:val="00CC585B"/>
    <w:rsid w:val="00CD06AD"/>
    <w:rsid w:val="00CD1B88"/>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D72E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4844"/>
    <w:rsid w:val="00FB5FC1"/>
    <w:rsid w:val="00FB69C9"/>
    <w:rsid w:val="00FB6C16"/>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9249"/>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1B354-E89C-419B-A825-D1E5B79D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547</Words>
  <Characters>3013</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20</cp:revision>
  <cp:lastPrinted>2019-01-14T09:08:00Z</cp:lastPrinted>
  <dcterms:created xsi:type="dcterms:W3CDTF">2019-03-11T07:22:00Z</dcterms:created>
  <dcterms:modified xsi:type="dcterms:W3CDTF">2019-03-11T09:35:00Z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