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5B3E07">
        <w:rPr>
          <w:rFonts w:ascii="Calibri Light" w:hAnsi="Calibri Light" w:cs="Arial"/>
          <w:b/>
          <w:sz w:val="44"/>
          <w:szCs w:val="44"/>
        </w:rPr>
        <w:t>02 septembre</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3505F9" w:rsidRDefault="003505F9" w:rsidP="00F72829">
      <w:pPr>
        <w:jc w:val="both"/>
        <w:rPr>
          <w:rFonts w:ascii="Arial" w:hAnsi="Arial" w:cs="Arial"/>
          <w:b/>
          <w:sz w:val="22"/>
          <w:szCs w:val="22"/>
        </w:rPr>
      </w:pPr>
    </w:p>
    <w:p w:rsidR="000A79EC" w:rsidRPr="00E1311A" w:rsidRDefault="000A79EC"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653475" w:rsidRDefault="000A79EC" w:rsidP="00B65AF1">
      <w:pPr>
        <w:autoSpaceDE w:val="0"/>
        <w:ind w:left="-283"/>
        <w:jc w:val="both"/>
        <w:rPr>
          <w:rFonts w:ascii="Arial" w:hAnsi="Arial" w:cs="Arial"/>
          <w:b/>
          <w:sz w:val="28"/>
          <w:szCs w:val="28"/>
          <w:u w:val="single"/>
        </w:rPr>
      </w:pPr>
      <w:r w:rsidRPr="000A79EC">
        <w:rPr>
          <w:rFonts w:ascii="Arial" w:hAnsi="Arial" w:cs="Arial"/>
          <w:b/>
          <w:noProof/>
          <w:sz w:val="28"/>
          <w:szCs w:val="28"/>
          <w:u w:val="single"/>
        </w:rPr>
        <w:drawing>
          <wp:inline distT="0" distB="0" distL="0" distR="0">
            <wp:extent cx="6645275" cy="3924300"/>
            <wp:effectExtent l="0" t="0" r="3175" b="0"/>
            <wp:docPr id="1" name="Image 1" descr="C:\Users\EPBFIA~1\AppData\Local\Temp\Bloomberg\temp\bfm6FB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6FB0.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7453" cy="3925586"/>
                    </a:xfrm>
                    <a:prstGeom prst="rect">
                      <a:avLst/>
                    </a:prstGeom>
                    <a:noFill/>
                    <a:ln>
                      <a:noFill/>
                    </a:ln>
                  </pic:spPr>
                </pic:pic>
              </a:graphicData>
            </a:graphic>
          </wp:inline>
        </w:drawing>
      </w:r>
    </w:p>
    <w:p w:rsidR="00F72829" w:rsidRPr="00653475" w:rsidRDefault="00F72829" w:rsidP="00F72829">
      <w:pPr>
        <w:autoSpaceDE w:val="0"/>
        <w:jc w:val="both"/>
        <w:rPr>
          <w:rFonts w:ascii="Arial" w:hAnsi="Arial" w:cs="Arial"/>
          <w:b/>
          <w:sz w:val="28"/>
          <w:szCs w:val="28"/>
          <w:u w:val="single"/>
        </w:rPr>
      </w:pPr>
      <w:r w:rsidRPr="00653475">
        <w:rPr>
          <w:rFonts w:ascii="Arial" w:hAnsi="Arial" w:cs="Arial"/>
          <w:b/>
          <w:sz w:val="28"/>
          <w:szCs w:val="28"/>
          <w:u w:val="single"/>
        </w:rPr>
        <w:t>Weekly</w:t>
      </w:r>
    </w:p>
    <w:p w:rsidR="0021751A" w:rsidRPr="00653475" w:rsidRDefault="000A79EC" w:rsidP="00B42D85">
      <w:pPr>
        <w:autoSpaceDE w:val="0"/>
        <w:ind w:left="-283"/>
        <w:jc w:val="both"/>
        <w:rPr>
          <w:rFonts w:ascii="Arial" w:hAnsi="Arial" w:cs="Arial"/>
          <w:b/>
          <w:sz w:val="28"/>
          <w:szCs w:val="28"/>
          <w:u w:val="single"/>
        </w:rPr>
      </w:pPr>
      <w:r w:rsidRPr="000A79EC">
        <w:rPr>
          <w:rFonts w:ascii="Arial" w:hAnsi="Arial" w:cs="Arial"/>
          <w:b/>
          <w:noProof/>
          <w:sz w:val="28"/>
          <w:szCs w:val="28"/>
          <w:u w:val="single"/>
        </w:rPr>
        <w:drawing>
          <wp:inline distT="0" distB="0" distL="0" distR="0">
            <wp:extent cx="6645275" cy="4562475"/>
            <wp:effectExtent l="0" t="0" r="3175" b="9525"/>
            <wp:docPr id="2" name="Image 2" descr="C:\Users\EPBFIA~1\AppData\Local\Temp\Bloomberg\temp\bfm2DF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2DFF.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13" cy="4563256"/>
                    </a:xfrm>
                    <a:prstGeom prst="rect">
                      <a:avLst/>
                    </a:prstGeom>
                    <a:noFill/>
                    <a:ln>
                      <a:noFill/>
                    </a:ln>
                  </pic:spPr>
                </pic:pic>
              </a:graphicData>
            </a:graphic>
          </wp:inline>
        </w:drawing>
      </w:r>
    </w:p>
    <w:p w:rsidR="00286600" w:rsidRPr="00653475" w:rsidRDefault="005E3841" w:rsidP="00B25A1B">
      <w:pPr>
        <w:autoSpaceDE w:val="0"/>
        <w:ind w:left="-851"/>
        <w:jc w:val="both"/>
        <w:rPr>
          <w:rFonts w:ascii="Arial" w:hAnsi="Arial" w:cs="Arial"/>
          <w:b/>
          <w:sz w:val="28"/>
          <w:szCs w:val="28"/>
          <w:u w:val="single"/>
        </w:rPr>
      </w:pPr>
      <w:r w:rsidRPr="00653475">
        <w:rPr>
          <w:rFonts w:ascii="Arial" w:hAnsi="Arial" w:cs="Arial"/>
          <w:b/>
          <w:sz w:val="28"/>
          <w:szCs w:val="28"/>
        </w:rPr>
        <w:lastRenderedPageBreak/>
        <w:t xml:space="preserve">           </w:t>
      </w:r>
      <w:r w:rsidR="000D4E0C" w:rsidRPr="00653475">
        <w:rPr>
          <w:rFonts w:ascii="Arial" w:hAnsi="Arial" w:cs="Arial"/>
          <w:b/>
          <w:sz w:val="28"/>
          <w:szCs w:val="28"/>
          <w:u w:val="single"/>
        </w:rPr>
        <w:t>Daily</w:t>
      </w:r>
    </w:p>
    <w:p w:rsidR="008F46BD" w:rsidRPr="00653475" w:rsidRDefault="000A79EC" w:rsidP="003505F9">
      <w:pPr>
        <w:autoSpaceDE w:val="0"/>
        <w:jc w:val="both"/>
        <w:rPr>
          <w:rFonts w:ascii="Arial" w:hAnsi="Arial" w:cs="Arial"/>
          <w:b/>
          <w:sz w:val="28"/>
          <w:szCs w:val="28"/>
          <w:u w:val="single"/>
        </w:rPr>
      </w:pPr>
      <w:r w:rsidRPr="000A79EC">
        <w:rPr>
          <w:rFonts w:ascii="Arial" w:hAnsi="Arial" w:cs="Arial"/>
          <w:b/>
          <w:noProof/>
          <w:sz w:val="28"/>
          <w:szCs w:val="28"/>
          <w:u w:val="single"/>
        </w:rPr>
        <w:drawing>
          <wp:inline distT="0" distB="0" distL="0" distR="0">
            <wp:extent cx="6645330" cy="4248150"/>
            <wp:effectExtent l="0" t="0" r="3175" b="0"/>
            <wp:docPr id="3" name="Image 3" descr="C:\Users\EPBFIA~1\AppData\Local\Temp\Bloomberg\temp\bfmE27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E27B.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460" cy="4248872"/>
                    </a:xfrm>
                    <a:prstGeom prst="rect">
                      <a:avLst/>
                    </a:prstGeom>
                    <a:noFill/>
                    <a:ln>
                      <a:noFill/>
                    </a:ln>
                  </pic:spPr>
                </pic:pic>
              </a:graphicData>
            </a:graphic>
          </wp:inline>
        </w:drawing>
      </w:r>
    </w:p>
    <w:p w:rsidR="00315779" w:rsidRPr="00E1311A" w:rsidRDefault="00315779" w:rsidP="003505F9">
      <w:pPr>
        <w:autoSpaceDE w:val="0"/>
        <w:jc w:val="both"/>
        <w:rPr>
          <w:rFonts w:ascii="Arial" w:hAnsi="Arial" w:cs="Arial"/>
          <w:b/>
          <w:sz w:val="28"/>
          <w:szCs w:val="28"/>
          <w:u w:val="single"/>
        </w:rPr>
      </w:pPr>
    </w:p>
    <w:p w:rsidR="00D67E50" w:rsidRDefault="00F72829" w:rsidP="005B3E07">
      <w:pPr>
        <w:jc w:val="both"/>
        <w:rPr>
          <w:rFonts w:ascii="Arial" w:hAnsi="Arial" w:cs="Arial"/>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w:t>
      </w:r>
      <w:r w:rsidR="00252935">
        <w:rPr>
          <w:rFonts w:ascii="Arial" w:hAnsi="Arial" w:cs="Arial"/>
        </w:rPr>
        <w:t>a</w:t>
      </w:r>
      <w:r w:rsidR="00B25FF2">
        <w:rPr>
          <w:rFonts w:ascii="Arial" w:hAnsi="Arial" w:cs="Arial"/>
        </w:rPr>
        <w:t xml:space="preserve"> tendance est baissière sur le long terme</w:t>
      </w:r>
      <w:r w:rsidR="00E846E7">
        <w:rPr>
          <w:rFonts w:ascii="Arial" w:hAnsi="Arial" w:cs="Arial"/>
        </w:rPr>
        <w:t xml:space="preserve"> avec des courbes Ichimoku orientée</w:t>
      </w:r>
      <w:r w:rsidR="00E609CA">
        <w:rPr>
          <w:rFonts w:ascii="Arial" w:hAnsi="Arial" w:cs="Arial"/>
        </w:rPr>
        <w:t>s</w:t>
      </w:r>
      <w:r w:rsidR="00E846E7">
        <w:rPr>
          <w:rFonts w:ascii="Arial" w:hAnsi="Arial" w:cs="Arial"/>
        </w:rPr>
        <w:t xml:space="preserve"> à la baisse.</w:t>
      </w:r>
    </w:p>
    <w:p w:rsidR="00E846E7" w:rsidRDefault="00E846E7" w:rsidP="005B3E07">
      <w:pPr>
        <w:jc w:val="both"/>
        <w:rPr>
          <w:rFonts w:ascii="Arial" w:hAnsi="Arial" w:cs="Arial"/>
        </w:rPr>
      </w:pPr>
      <w:r>
        <w:rPr>
          <w:rFonts w:ascii="Arial" w:hAnsi="Arial" w:cs="Arial"/>
        </w:rPr>
        <w:t xml:space="preserve">L’écart relativement important entre taux et TS traduit une situation de surtension qui demande à être corrigée. Sans nouveaux bas (actuellement -0.728) un rebond du marché aura pour cible la TS dont le niveau se situera au cours du mois </w:t>
      </w:r>
      <w:r w:rsidR="00E609CA">
        <w:rPr>
          <w:rFonts w:ascii="Arial" w:hAnsi="Arial" w:cs="Arial"/>
        </w:rPr>
        <w:t xml:space="preserve">de septembre </w:t>
      </w:r>
      <w:r>
        <w:rPr>
          <w:rFonts w:ascii="Arial" w:hAnsi="Arial" w:cs="Arial"/>
        </w:rPr>
        <w:t>sur -0.21.</w:t>
      </w:r>
    </w:p>
    <w:p w:rsidR="00E846E7" w:rsidRDefault="00E846E7" w:rsidP="005B3E07">
      <w:pPr>
        <w:jc w:val="both"/>
        <w:rPr>
          <w:rFonts w:ascii="Tahoma" w:hAnsi="Tahoma" w:cs="Tahoma"/>
          <w:bCs/>
        </w:rPr>
      </w:pPr>
      <w:r>
        <w:rPr>
          <w:rFonts w:ascii="Arial" w:hAnsi="Arial" w:cs="Arial"/>
        </w:rPr>
        <w:t>Pour envisager cette cible, le 10 ans Euro devra s’affranchir de la résistance intermédiaire de -0.41.</w:t>
      </w:r>
    </w:p>
    <w:p w:rsidR="00247289" w:rsidRPr="00247289" w:rsidRDefault="00247289" w:rsidP="00D67E50">
      <w:pPr>
        <w:jc w:val="both"/>
        <w:rPr>
          <w:rFonts w:ascii="Tahoma" w:hAnsi="Tahoma" w:cs="Tahoma"/>
          <w:bCs/>
        </w:rPr>
      </w:pPr>
    </w:p>
    <w:p w:rsidR="006A4A16" w:rsidRPr="00336487" w:rsidRDefault="003A1222" w:rsidP="005B3E07">
      <w:pPr>
        <w:jc w:val="both"/>
        <w:rPr>
          <w:rFonts w:ascii="Arial" w:hAnsi="Arial" w:cs="Arial"/>
          <w:bCs/>
        </w:rPr>
      </w:pPr>
      <w:r w:rsidRPr="00336487">
        <w:rPr>
          <w:rFonts w:ascii="Arial" w:hAnsi="Arial" w:cs="Arial"/>
          <w:b/>
          <w:bCs/>
        </w:rPr>
        <w:t xml:space="preserve">W : </w:t>
      </w:r>
      <w:r w:rsidR="00636B48">
        <w:rPr>
          <w:rFonts w:ascii="Arial" w:hAnsi="Arial" w:cs="Arial"/>
          <w:bCs/>
        </w:rPr>
        <w:t>L</w:t>
      </w:r>
      <w:r w:rsidR="005409CB">
        <w:rPr>
          <w:rFonts w:ascii="Arial" w:hAnsi="Arial" w:cs="Arial"/>
          <w:bCs/>
        </w:rPr>
        <w:t>’</w:t>
      </w:r>
      <w:r w:rsidR="002B7219">
        <w:rPr>
          <w:rFonts w:ascii="Arial" w:hAnsi="Arial" w:cs="Arial"/>
          <w:bCs/>
        </w:rPr>
        <w:t>environnement</w:t>
      </w:r>
      <w:r w:rsidR="005409CB">
        <w:rPr>
          <w:rFonts w:ascii="Arial" w:hAnsi="Arial" w:cs="Arial"/>
          <w:bCs/>
        </w:rPr>
        <w:t xml:space="preserve"> </w:t>
      </w:r>
      <w:r w:rsidR="00E846E7">
        <w:rPr>
          <w:rFonts w:ascii="Arial" w:hAnsi="Arial" w:cs="Arial"/>
          <w:bCs/>
        </w:rPr>
        <w:t>est baissier sur le moyen terme mais les plats qui s</w:t>
      </w:r>
      <w:r w:rsidR="00A34100">
        <w:rPr>
          <w:rFonts w:ascii="Arial" w:hAnsi="Arial" w:cs="Arial"/>
          <w:bCs/>
        </w:rPr>
        <w:t>e</w:t>
      </w:r>
      <w:r w:rsidR="00E846E7">
        <w:rPr>
          <w:rFonts w:ascii="Arial" w:hAnsi="Arial" w:cs="Arial"/>
          <w:bCs/>
        </w:rPr>
        <w:t xml:space="preserve"> développent </w:t>
      </w:r>
      <w:r w:rsidR="00033E29">
        <w:rPr>
          <w:rFonts w:ascii="Arial" w:hAnsi="Arial" w:cs="Arial"/>
          <w:bCs/>
        </w:rPr>
        <w:t xml:space="preserve">sur cette unité de temps </w:t>
      </w:r>
      <w:r w:rsidR="00E846E7">
        <w:rPr>
          <w:rFonts w:ascii="Arial" w:hAnsi="Arial" w:cs="Arial"/>
          <w:bCs/>
        </w:rPr>
        <w:t>indique</w:t>
      </w:r>
      <w:r w:rsidR="00A34100">
        <w:rPr>
          <w:rFonts w:ascii="Arial" w:hAnsi="Arial" w:cs="Arial"/>
          <w:bCs/>
        </w:rPr>
        <w:t>nt</w:t>
      </w:r>
      <w:r w:rsidR="00E846E7">
        <w:rPr>
          <w:rFonts w:ascii="Arial" w:hAnsi="Arial" w:cs="Arial"/>
          <w:bCs/>
        </w:rPr>
        <w:t xml:space="preserve"> que le taux n’est plus en mouvement. </w:t>
      </w:r>
      <w:r w:rsidR="00940EBF">
        <w:rPr>
          <w:rFonts w:ascii="Arial" w:hAnsi="Arial" w:cs="Arial"/>
          <w:bCs/>
        </w:rPr>
        <w:t>Au-dessus</w:t>
      </w:r>
      <w:r w:rsidR="00A34100">
        <w:rPr>
          <w:rFonts w:ascii="Arial" w:hAnsi="Arial" w:cs="Arial"/>
          <w:bCs/>
        </w:rPr>
        <w:t xml:space="preserve"> de -0.72, </w:t>
      </w:r>
      <w:r w:rsidR="00E846E7">
        <w:rPr>
          <w:rFonts w:ascii="Arial" w:hAnsi="Arial" w:cs="Arial"/>
          <w:bCs/>
        </w:rPr>
        <w:t>TS et KS vont servir de résistance</w:t>
      </w:r>
      <w:r w:rsidR="00A34100">
        <w:rPr>
          <w:rFonts w:ascii="Arial" w:hAnsi="Arial" w:cs="Arial"/>
          <w:bCs/>
        </w:rPr>
        <w:t>s</w:t>
      </w:r>
      <w:r w:rsidR="00E846E7">
        <w:rPr>
          <w:rFonts w:ascii="Arial" w:hAnsi="Arial" w:cs="Arial"/>
          <w:bCs/>
        </w:rPr>
        <w:t xml:space="preserve"> en cas de correction haussière. La TS se situe sur -0.45 et la KS sur -0.30.</w:t>
      </w:r>
    </w:p>
    <w:p w:rsidR="000F7FF2" w:rsidRPr="00336487" w:rsidRDefault="000F7FF2" w:rsidP="00B0131A">
      <w:pPr>
        <w:jc w:val="both"/>
        <w:rPr>
          <w:rFonts w:ascii="Tahoma" w:hAnsi="Tahoma" w:cs="Tahoma"/>
          <w:bCs/>
        </w:rPr>
      </w:pPr>
    </w:p>
    <w:p w:rsidR="00047FCF" w:rsidRDefault="00A82504" w:rsidP="005B3E07">
      <w:pPr>
        <w:jc w:val="both"/>
        <w:rPr>
          <w:rFonts w:ascii="Arial" w:hAnsi="Arial" w:cs="Arial"/>
          <w:bCs/>
        </w:rPr>
      </w:pPr>
      <w:r w:rsidRPr="008631EB">
        <w:rPr>
          <w:rFonts w:ascii="Arial" w:hAnsi="Arial" w:cs="Arial"/>
          <w:b/>
          <w:bCs/>
        </w:rPr>
        <w:t xml:space="preserve">D : </w:t>
      </w:r>
      <w:r w:rsidR="00A34100">
        <w:rPr>
          <w:rFonts w:ascii="Arial" w:hAnsi="Arial" w:cs="Arial"/>
          <w:bCs/>
        </w:rPr>
        <w:t xml:space="preserve">Contexte baissier sur le court terme avec un aplatissement de TS qui </w:t>
      </w:r>
      <w:r w:rsidR="00033E29">
        <w:rPr>
          <w:rFonts w:ascii="Arial" w:hAnsi="Arial" w:cs="Arial"/>
          <w:bCs/>
        </w:rPr>
        <w:t>confirme</w:t>
      </w:r>
      <w:r w:rsidR="00A34100">
        <w:rPr>
          <w:rFonts w:ascii="Arial" w:hAnsi="Arial" w:cs="Arial"/>
          <w:bCs/>
        </w:rPr>
        <w:t xml:space="preserve"> que marché n’est plus en tendance.</w:t>
      </w:r>
    </w:p>
    <w:p w:rsidR="00A34100" w:rsidRDefault="00A34100" w:rsidP="005B3E07">
      <w:pPr>
        <w:jc w:val="both"/>
        <w:rPr>
          <w:rFonts w:ascii="Arial" w:hAnsi="Arial" w:cs="Arial"/>
          <w:bCs/>
        </w:rPr>
      </w:pPr>
      <w:r>
        <w:rPr>
          <w:rFonts w:ascii="Arial" w:hAnsi="Arial" w:cs="Arial"/>
          <w:bCs/>
        </w:rPr>
        <w:t>Le taux évolue autour de la TS qui ser</w:t>
      </w:r>
      <w:r w:rsidR="00033E29">
        <w:rPr>
          <w:rFonts w:ascii="Arial" w:hAnsi="Arial" w:cs="Arial"/>
          <w:bCs/>
        </w:rPr>
        <w:t>t</w:t>
      </w:r>
      <w:r>
        <w:rPr>
          <w:rFonts w:ascii="Arial" w:hAnsi="Arial" w:cs="Arial"/>
          <w:bCs/>
        </w:rPr>
        <w:t xml:space="preserve"> de pivot sur -0.66.</w:t>
      </w:r>
    </w:p>
    <w:p w:rsidR="00A34100" w:rsidRDefault="005006E4" w:rsidP="005B3E07">
      <w:pPr>
        <w:jc w:val="both"/>
        <w:rPr>
          <w:rFonts w:ascii="Arial" w:hAnsi="Arial" w:cs="Arial"/>
          <w:bCs/>
        </w:rPr>
      </w:pPr>
      <w:r>
        <w:rPr>
          <w:rFonts w:ascii="Arial" w:hAnsi="Arial" w:cs="Arial"/>
          <w:bCs/>
        </w:rPr>
        <w:t>Au-dessus</w:t>
      </w:r>
      <w:r w:rsidR="00A34100">
        <w:rPr>
          <w:rFonts w:ascii="Arial" w:hAnsi="Arial" w:cs="Arial"/>
          <w:bCs/>
        </w:rPr>
        <w:t xml:space="preserve"> d</w:t>
      </w:r>
      <w:r w:rsidR="00033E29">
        <w:rPr>
          <w:rFonts w:ascii="Arial" w:hAnsi="Arial" w:cs="Arial"/>
          <w:bCs/>
        </w:rPr>
        <w:t>u bas historique de</w:t>
      </w:r>
      <w:r w:rsidR="00A34100">
        <w:rPr>
          <w:rFonts w:ascii="Arial" w:hAnsi="Arial" w:cs="Arial"/>
          <w:bCs/>
        </w:rPr>
        <w:t xml:space="preserve"> -0.728 le 10 ans Euro a dessiné une figure graphique </w:t>
      </w:r>
      <w:r w:rsidR="00033E29">
        <w:rPr>
          <w:rFonts w:ascii="Arial" w:hAnsi="Arial" w:cs="Arial"/>
          <w:bCs/>
        </w:rPr>
        <w:t xml:space="preserve">haussière </w:t>
      </w:r>
      <w:r w:rsidR="00A34100">
        <w:rPr>
          <w:rFonts w:ascii="Arial" w:hAnsi="Arial" w:cs="Arial"/>
          <w:bCs/>
        </w:rPr>
        <w:t xml:space="preserve">en double creux dont l’objectif </w:t>
      </w:r>
      <w:r>
        <w:rPr>
          <w:rFonts w:ascii="Arial" w:hAnsi="Arial" w:cs="Arial"/>
          <w:bCs/>
        </w:rPr>
        <w:t>théorique</w:t>
      </w:r>
      <w:r w:rsidR="00A34100">
        <w:rPr>
          <w:rFonts w:ascii="Arial" w:hAnsi="Arial" w:cs="Arial"/>
          <w:bCs/>
        </w:rPr>
        <w:t xml:space="preserve"> en cassure de -0.60 donnera une cible autour de -0.48.</w:t>
      </w:r>
    </w:p>
    <w:p w:rsidR="00C94119" w:rsidRDefault="00C94119" w:rsidP="005B3E07">
      <w:pPr>
        <w:jc w:val="both"/>
        <w:rPr>
          <w:rFonts w:ascii="Arial" w:hAnsi="Arial" w:cs="Arial"/>
          <w:bCs/>
        </w:rPr>
      </w:pPr>
      <w:r>
        <w:rPr>
          <w:rFonts w:ascii="Arial" w:hAnsi="Arial" w:cs="Arial"/>
          <w:bCs/>
        </w:rPr>
        <w:t>Le plat de SSB sur -0.45 renforcera la résistance graphique de -0.48.</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994663" w:rsidRPr="00013B8A" w:rsidRDefault="00F72829" w:rsidP="005B3E07">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w:t>
      </w:r>
      <w:r w:rsidR="00BB1F92">
        <w:rPr>
          <w:rFonts w:ascii="Arial" w:hAnsi="Arial" w:cs="Arial"/>
          <w:b/>
          <w:color w:val="00B050"/>
        </w:rPr>
        <w:t xml:space="preserve"> Marché surtendu qui n’est plus en mouvement sur le court terme. Un maintien du taux </w:t>
      </w:r>
      <w:r w:rsidR="005006E4">
        <w:rPr>
          <w:rFonts w:ascii="Arial" w:hAnsi="Arial" w:cs="Arial"/>
          <w:b/>
          <w:color w:val="00B050"/>
        </w:rPr>
        <w:t>au-dessus</w:t>
      </w:r>
      <w:r w:rsidR="00BB1F92">
        <w:rPr>
          <w:rFonts w:ascii="Arial" w:hAnsi="Arial" w:cs="Arial"/>
          <w:b/>
          <w:color w:val="00B050"/>
        </w:rPr>
        <w:t xml:space="preserve"> de -0.72 favorisera une correction en dépassement de -0.60 avec pour cible les niveaux de -0.48/-0.45.</w:t>
      </w:r>
    </w:p>
    <w:p w:rsidR="0066058B" w:rsidRDefault="0066058B" w:rsidP="00F72829">
      <w:pPr>
        <w:jc w:val="both"/>
        <w:rPr>
          <w:rFonts w:ascii="Arial" w:hAnsi="Arial" w:cs="Arial"/>
          <w:b/>
          <w:color w:val="00B050"/>
        </w:rPr>
      </w:pPr>
    </w:p>
    <w:p w:rsidR="009E0BEE" w:rsidRDefault="009E0BEE" w:rsidP="00F72829">
      <w:pPr>
        <w:jc w:val="both"/>
        <w:rPr>
          <w:rFonts w:ascii="Arial" w:hAnsi="Arial" w:cs="Arial"/>
          <w:b/>
          <w:color w:val="00B050"/>
        </w:rPr>
      </w:pPr>
    </w:p>
    <w:p w:rsidR="00B33A9F" w:rsidRDefault="00B33A9F" w:rsidP="00F72829">
      <w:pPr>
        <w:jc w:val="both"/>
        <w:rPr>
          <w:rFonts w:ascii="Arial" w:hAnsi="Arial" w:cs="Arial"/>
          <w:b/>
          <w:color w:val="00B050"/>
        </w:rPr>
      </w:pPr>
    </w:p>
    <w:p w:rsidR="00FE1FD4" w:rsidRDefault="00FE1FD4" w:rsidP="00F72829">
      <w:pPr>
        <w:jc w:val="both"/>
        <w:rPr>
          <w:rFonts w:ascii="Arial" w:hAnsi="Arial" w:cs="Arial"/>
          <w:b/>
          <w:color w:val="00B050"/>
        </w:rPr>
      </w:pPr>
    </w:p>
    <w:p w:rsidR="000A79EC" w:rsidRPr="000F7306" w:rsidRDefault="000A79EC" w:rsidP="00F72829">
      <w:pPr>
        <w:jc w:val="both"/>
        <w:rPr>
          <w:rFonts w:ascii="Arial" w:hAnsi="Arial" w:cs="Arial"/>
          <w:b/>
          <w:color w:val="00B050"/>
        </w:rPr>
      </w:pPr>
    </w:p>
    <w:p w:rsidR="00F72829" w:rsidRPr="000A79EC" w:rsidRDefault="004E02D3" w:rsidP="008F40E5">
      <w:pPr>
        <w:jc w:val="both"/>
        <w:rPr>
          <w:rFonts w:ascii="Arial" w:hAnsi="Arial" w:cs="Arial"/>
          <w:b/>
          <w:bCs/>
          <w:sz w:val="36"/>
          <w:szCs w:val="36"/>
          <w:u w:val="single"/>
          <w:lang w:val="en-US"/>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0A79EC">
        <w:rPr>
          <w:rFonts w:ascii="Arial" w:hAnsi="Arial" w:cs="Arial"/>
          <w:b/>
          <w:bCs/>
          <w:sz w:val="36"/>
          <w:szCs w:val="36"/>
          <w:u w:val="single"/>
          <w:lang w:val="en-US"/>
        </w:rPr>
        <w:t xml:space="preserve">10 ans USA </w:t>
      </w:r>
    </w:p>
    <w:p w:rsidR="00F72829" w:rsidRPr="000A79EC" w:rsidRDefault="00F72829" w:rsidP="00BE257A">
      <w:pPr>
        <w:jc w:val="both"/>
        <w:rPr>
          <w:rFonts w:ascii="Arial" w:hAnsi="Arial" w:cs="Arial"/>
          <w:b/>
          <w:sz w:val="28"/>
          <w:szCs w:val="28"/>
          <w:u w:val="single"/>
          <w:lang w:val="en-US"/>
        </w:rPr>
      </w:pPr>
      <w:r w:rsidRPr="000A79EC">
        <w:rPr>
          <w:rFonts w:ascii="Arial" w:hAnsi="Arial" w:cs="Arial"/>
          <w:b/>
          <w:sz w:val="28"/>
          <w:szCs w:val="28"/>
          <w:u w:val="single"/>
          <w:lang w:val="en-US"/>
        </w:rPr>
        <w:t>Monthly</w:t>
      </w:r>
    </w:p>
    <w:p w:rsidR="00B03AED" w:rsidRPr="000A79EC" w:rsidRDefault="00973DC9" w:rsidP="00687F45">
      <w:pPr>
        <w:jc w:val="both"/>
        <w:rPr>
          <w:rFonts w:ascii="Arial" w:hAnsi="Arial" w:cs="Arial"/>
          <w:b/>
          <w:bCs/>
          <w:sz w:val="28"/>
          <w:szCs w:val="28"/>
          <w:u w:val="single"/>
          <w:lang w:val="en-US"/>
        </w:rPr>
      </w:pPr>
      <w:r w:rsidRPr="00973DC9">
        <w:rPr>
          <w:rFonts w:ascii="Arial" w:hAnsi="Arial" w:cs="Arial"/>
          <w:b/>
          <w:bCs/>
          <w:noProof/>
          <w:sz w:val="28"/>
          <w:szCs w:val="28"/>
          <w:u w:val="single"/>
        </w:rPr>
        <w:drawing>
          <wp:inline distT="0" distB="0" distL="0" distR="0">
            <wp:extent cx="6645330" cy="4238625"/>
            <wp:effectExtent l="0" t="0" r="3175" b="0"/>
            <wp:docPr id="4" name="Image 4" descr="C:\Users\EPBFIA~1\AppData\Local\Temp\Bloomberg\temp\bfm37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37D.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05" cy="4239311"/>
                    </a:xfrm>
                    <a:prstGeom prst="rect">
                      <a:avLst/>
                    </a:prstGeom>
                    <a:noFill/>
                    <a:ln>
                      <a:noFill/>
                    </a:ln>
                  </pic:spPr>
                </pic:pic>
              </a:graphicData>
            </a:graphic>
          </wp:inline>
        </w:drawing>
      </w:r>
    </w:p>
    <w:p w:rsidR="00B03AED" w:rsidRPr="000A79EC" w:rsidRDefault="00B03AED" w:rsidP="006E6472">
      <w:pPr>
        <w:jc w:val="both"/>
        <w:rPr>
          <w:rFonts w:ascii="Arial" w:hAnsi="Arial" w:cs="Arial"/>
          <w:b/>
          <w:bCs/>
          <w:sz w:val="28"/>
          <w:szCs w:val="28"/>
          <w:u w:val="single"/>
          <w:lang w:val="en-US"/>
        </w:rPr>
      </w:pPr>
      <w:r w:rsidRPr="000A79EC">
        <w:rPr>
          <w:rFonts w:ascii="Arial" w:hAnsi="Arial" w:cs="Arial"/>
          <w:b/>
          <w:bCs/>
          <w:sz w:val="28"/>
          <w:szCs w:val="28"/>
          <w:u w:val="single"/>
          <w:lang w:val="en-US"/>
        </w:rPr>
        <w:t>Weekly</w:t>
      </w:r>
    </w:p>
    <w:p w:rsidR="00A85203" w:rsidRPr="000A79EC" w:rsidRDefault="00973DC9" w:rsidP="00126BB5">
      <w:pPr>
        <w:ind w:left="-283"/>
        <w:jc w:val="both"/>
        <w:rPr>
          <w:rFonts w:ascii="Arial" w:hAnsi="Arial" w:cs="Arial"/>
          <w:b/>
          <w:bCs/>
          <w:sz w:val="28"/>
          <w:szCs w:val="28"/>
          <w:u w:val="single"/>
          <w:lang w:val="en-US"/>
        </w:rPr>
      </w:pPr>
      <w:r w:rsidRPr="00973DC9">
        <w:rPr>
          <w:rFonts w:ascii="Arial" w:hAnsi="Arial" w:cs="Arial"/>
          <w:b/>
          <w:bCs/>
          <w:noProof/>
          <w:sz w:val="28"/>
          <w:szCs w:val="28"/>
          <w:u w:val="single"/>
        </w:rPr>
        <w:drawing>
          <wp:inline distT="0" distB="0" distL="0" distR="0">
            <wp:extent cx="6645330" cy="4438650"/>
            <wp:effectExtent l="0" t="0" r="3175" b="0"/>
            <wp:docPr id="5" name="Image 5" descr="C:\Users\EPBFIA~1\AppData\Local\Temp\Bloomberg\temp\bfm980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980D.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240" cy="4439258"/>
                    </a:xfrm>
                    <a:prstGeom prst="rect">
                      <a:avLst/>
                    </a:prstGeom>
                    <a:noFill/>
                    <a:ln>
                      <a:noFill/>
                    </a:ln>
                  </pic:spPr>
                </pic:pic>
              </a:graphicData>
            </a:graphic>
          </wp:inline>
        </w:drawing>
      </w:r>
    </w:p>
    <w:p w:rsidR="00733AD4" w:rsidRPr="000A79EC" w:rsidRDefault="00A30EF5" w:rsidP="00E81EBB">
      <w:pPr>
        <w:ind w:left="-850"/>
        <w:jc w:val="both"/>
        <w:rPr>
          <w:rFonts w:ascii="Arial" w:hAnsi="Arial" w:cs="Arial"/>
          <w:b/>
          <w:bCs/>
          <w:sz w:val="28"/>
          <w:szCs w:val="28"/>
          <w:u w:val="single"/>
          <w:lang w:val="en-US"/>
        </w:rPr>
      </w:pPr>
      <w:r w:rsidRPr="000A79EC">
        <w:rPr>
          <w:rFonts w:ascii="Arial" w:hAnsi="Arial" w:cs="Arial"/>
          <w:b/>
          <w:bCs/>
          <w:sz w:val="28"/>
          <w:szCs w:val="28"/>
          <w:lang w:val="en-US"/>
        </w:rPr>
        <w:lastRenderedPageBreak/>
        <w:t xml:space="preserve">       </w:t>
      </w:r>
      <w:r w:rsidR="00B4277F" w:rsidRPr="000A79EC">
        <w:rPr>
          <w:rFonts w:ascii="Arial" w:hAnsi="Arial" w:cs="Arial"/>
          <w:b/>
          <w:bCs/>
          <w:sz w:val="28"/>
          <w:szCs w:val="28"/>
          <w:lang w:val="en-US"/>
        </w:rPr>
        <w:t xml:space="preserve">   </w:t>
      </w:r>
      <w:r w:rsidR="00B03AED" w:rsidRPr="000A79EC">
        <w:rPr>
          <w:rFonts w:ascii="Arial" w:hAnsi="Arial" w:cs="Arial"/>
          <w:b/>
          <w:bCs/>
          <w:sz w:val="28"/>
          <w:szCs w:val="28"/>
          <w:u w:val="single"/>
          <w:lang w:val="en-US"/>
        </w:rPr>
        <w:t xml:space="preserve">Daily </w:t>
      </w:r>
    </w:p>
    <w:p w:rsidR="00A17C7A" w:rsidRPr="000A79EC" w:rsidRDefault="00B17957" w:rsidP="008D238B">
      <w:pPr>
        <w:jc w:val="both"/>
        <w:rPr>
          <w:rFonts w:ascii="Arial" w:hAnsi="Arial" w:cs="Arial"/>
          <w:b/>
          <w:bCs/>
          <w:sz w:val="28"/>
          <w:szCs w:val="28"/>
          <w:u w:val="single"/>
          <w:lang w:val="en-US"/>
        </w:rPr>
      </w:pPr>
      <w:r w:rsidRPr="00B17957">
        <w:rPr>
          <w:rFonts w:ascii="Arial" w:hAnsi="Arial" w:cs="Arial"/>
          <w:b/>
          <w:bCs/>
          <w:noProof/>
          <w:sz w:val="28"/>
          <w:szCs w:val="28"/>
          <w:u w:val="single"/>
        </w:rPr>
        <w:drawing>
          <wp:inline distT="0" distB="0" distL="0" distR="0">
            <wp:extent cx="6645330" cy="4191000"/>
            <wp:effectExtent l="0" t="0" r="3175" b="0"/>
            <wp:docPr id="6" name="Image 6" descr="C:\Users\EPBFIA~1\AppData\Local\Temp\Bloomberg\temp\bfm4D9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4D93.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515" cy="4191747"/>
                    </a:xfrm>
                    <a:prstGeom prst="rect">
                      <a:avLst/>
                    </a:prstGeom>
                    <a:noFill/>
                    <a:ln>
                      <a:noFill/>
                    </a:ln>
                  </pic:spPr>
                </pic:pic>
              </a:graphicData>
            </a:graphic>
          </wp:inline>
        </w:drawing>
      </w:r>
    </w:p>
    <w:p w:rsidR="005A74A9" w:rsidRPr="000A79EC" w:rsidRDefault="005A74A9" w:rsidP="005255A2">
      <w:pPr>
        <w:tabs>
          <w:tab w:val="left" w:pos="5868"/>
        </w:tabs>
        <w:autoSpaceDE w:val="0"/>
        <w:jc w:val="both"/>
        <w:rPr>
          <w:rFonts w:ascii="Arial" w:hAnsi="Arial" w:cs="Arial"/>
          <w:b/>
          <w:bCs/>
          <w:sz w:val="28"/>
          <w:szCs w:val="28"/>
          <w:u w:val="single"/>
          <w:lang w:val="en-US"/>
        </w:rPr>
      </w:pPr>
    </w:p>
    <w:p w:rsidR="006D31FB" w:rsidRDefault="00D2583B" w:rsidP="005B3E07">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753DE5">
        <w:rPr>
          <w:rFonts w:ascii="Tahoma" w:hAnsi="Tahoma" w:cs="Tahoma"/>
        </w:rPr>
        <w:t xml:space="preserve">Le </w:t>
      </w:r>
      <w:r w:rsidR="00316AC9">
        <w:rPr>
          <w:rFonts w:ascii="Tahoma" w:hAnsi="Tahoma" w:cs="Tahoma"/>
        </w:rPr>
        <w:t xml:space="preserve">contexte est baissier sur le long terme depuis la rupture du nuage </w:t>
      </w:r>
      <w:r w:rsidR="0067627E">
        <w:rPr>
          <w:rFonts w:ascii="Tahoma" w:hAnsi="Tahoma" w:cs="Tahoma"/>
        </w:rPr>
        <w:t>(</w:t>
      </w:r>
      <w:r w:rsidR="00316AC9">
        <w:rPr>
          <w:rFonts w:ascii="Tahoma" w:hAnsi="Tahoma" w:cs="Tahoma"/>
        </w:rPr>
        <w:t>à la baisse</w:t>
      </w:r>
      <w:r w:rsidR="0067627E">
        <w:rPr>
          <w:rFonts w:ascii="Tahoma" w:hAnsi="Tahoma" w:cs="Tahoma"/>
        </w:rPr>
        <w:t>)</w:t>
      </w:r>
      <w:r w:rsidR="00316AC9">
        <w:rPr>
          <w:rFonts w:ascii="Tahoma" w:hAnsi="Tahoma" w:cs="Tahoma"/>
        </w:rPr>
        <w:t xml:space="preserve"> par le taux et la LS.</w:t>
      </w:r>
    </w:p>
    <w:p w:rsidR="00316AC9" w:rsidRPr="005A2FC4" w:rsidRDefault="00316AC9" w:rsidP="005B3E07">
      <w:pPr>
        <w:tabs>
          <w:tab w:val="left" w:pos="5868"/>
        </w:tabs>
        <w:autoSpaceDE w:val="0"/>
        <w:jc w:val="both"/>
        <w:rPr>
          <w:rFonts w:ascii="Tahoma" w:hAnsi="Tahoma" w:cs="Tahoma"/>
        </w:rPr>
      </w:pPr>
      <w:r>
        <w:rPr>
          <w:rFonts w:ascii="Tahoma" w:hAnsi="Tahoma" w:cs="Tahoma"/>
        </w:rPr>
        <w:t xml:space="preserve">Le marché est revenu sur ses bas historiques (1.37 en décembre 2012 et 1.31 en juillet 2016). Le potentiel de baisse est limité suite à la surtension </w:t>
      </w:r>
      <w:r w:rsidR="0067627E">
        <w:rPr>
          <w:rFonts w:ascii="Tahoma" w:hAnsi="Tahoma" w:cs="Tahoma"/>
        </w:rPr>
        <w:t>du marché résultant d’</w:t>
      </w:r>
      <w:r>
        <w:rPr>
          <w:rFonts w:ascii="Tahoma" w:hAnsi="Tahoma" w:cs="Tahoma"/>
        </w:rPr>
        <w:t>une baisse excessive.</w:t>
      </w:r>
      <w:r w:rsidR="007A7562">
        <w:rPr>
          <w:rFonts w:ascii="Tahoma" w:hAnsi="Tahoma" w:cs="Tahoma"/>
        </w:rPr>
        <w:t xml:space="preserve"> Le twist du nuage futur pourrait ainsi placer le 10 ans US </w:t>
      </w:r>
      <w:r w:rsidR="00CE3955">
        <w:rPr>
          <w:rFonts w:ascii="Tahoma" w:hAnsi="Tahoma" w:cs="Tahoma"/>
        </w:rPr>
        <w:t xml:space="preserve">dans un environnement de longue période, </w:t>
      </w:r>
      <w:r w:rsidR="007A7562">
        <w:rPr>
          <w:rFonts w:ascii="Tahoma" w:hAnsi="Tahoma" w:cs="Tahoma"/>
        </w:rPr>
        <w:t>dans une large zone de consolidation comprise entre le bas historique de 1.31 et le dernier sommet de 3.25, le plat de SSB de 2.2</w:t>
      </w:r>
      <w:r w:rsidR="00CE3955">
        <w:rPr>
          <w:rFonts w:ascii="Tahoma" w:hAnsi="Tahoma" w:cs="Tahoma"/>
        </w:rPr>
        <w:t>8</w:t>
      </w:r>
      <w:r w:rsidR="007A7562">
        <w:rPr>
          <w:rFonts w:ascii="Tahoma" w:hAnsi="Tahoma" w:cs="Tahoma"/>
        </w:rPr>
        <w:t xml:space="preserve"> ser</w:t>
      </w:r>
      <w:r w:rsidR="00B35C5C">
        <w:rPr>
          <w:rFonts w:ascii="Tahoma" w:hAnsi="Tahoma" w:cs="Tahoma"/>
        </w:rPr>
        <w:t>vira</w:t>
      </w:r>
      <w:r w:rsidR="007A7562">
        <w:rPr>
          <w:rFonts w:ascii="Tahoma" w:hAnsi="Tahoma" w:cs="Tahoma"/>
        </w:rPr>
        <w:t xml:space="preserve"> de point pivot.</w:t>
      </w:r>
    </w:p>
    <w:p w:rsidR="00D8157E" w:rsidRPr="005A2FC4" w:rsidRDefault="00D8157E" w:rsidP="00D2583B">
      <w:pPr>
        <w:tabs>
          <w:tab w:val="left" w:pos="5868"/>
        </w:tabs>
        <w:autoSpaceDE w:val="0"/>
        <w:jc w:val="both"/>
        <w:rPr>
          <w:rFonts w:ascii="Tahoma" w:hAnsi="Tahoma" w:cs="Tahoma"/>
        </w:rPr>
      </w:pPr>
    </w:p>
    <w:p w:rsidR="006859A4" w:rsidRDefault="00D2583B" w:rsidP="005B3E07">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CC0769">
        <w:rPr>
          <w:rFonts w:ascii="Arial" w:hAnsi="Arial" w:cs="Arial"/>
          <w:bCs/>
        </w:rPr>
        <w:t>Environnement baissier de moyen terme avec un taux relativement éloigné de sa TS. La situation de surtension se corrigera en retour du marché sur 1.79, niveau de la TS.</w:t>
      </w:r>
      <w:r w:rsidR="006859A4">
        <w:rPr>
          <w:rFonts w:ascii="Arial" w:hAnsi="Arial" w:cs="Arial"/>
          <w:bCs/>
        </w:rPr>
        <w:t xml:space="preserve"> </w:t>
      </w:r>
    </w:p>
    <w:p w:rsidR="00FF1ED0" w:rsidRPr="00D624A8" w:rsidRDefault="00FF1ED0" w:rsidP="00CF690F">
      <w:pPr>
        <w:jc w:val="both"/>
        <w:rPr>
          <w:rFonts w:ascii="Tahoma" w:hAnsi="Tahoma" w:cs="Tahoma"/>
        </w:rPr>
      </w:pPr>
    </w:p>
    <w:p w:rsidR="00F13462" w:rsidRDefault="003D663C" w:rsidP="005B3E07">
      <w:pPr>
        <w:jc w:val="both"/>
        <w:rPr>
          <w:rFonts w:ascii="Tahoma" w:hAnsi="Tahoma" w:cs="Tahoma"/>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0402E1">
        <w:rPr>
          <w:rFonts w:ascii="Arial" w:hAnsi="Arial" w:cs="Arial"/>
          <w:bCs/>
        </w:rPr>
        <w:t>L</w:t>
      </w:r>
      <w:r w:rsidR="00FF6785">
        <w:rPr>
          <w:rFonts w:ascii="Arial" w:hAnsi="Arial" w:cs="Arial"/>
          <w:bCs/>
        </w:rPr>
        <w:t>e contexte est baissier sur le court terme et les nombreux plat</w:t>
      </w:r>
      <w:r w:rsidR="00523CB6">
        <w:rPr>
          <w:rFonts w:ascii="Arial" w:hAnsi="Arial" w:cs="Arial"/>
          <w:bCs/>
        </w:rPr>
        <w:t>s</w:t>
      </w:r>
      <w:r w:rsidR="00FF6785">
        <w:rPr>
          <w:rFonts w:ascii="Arial" w:hAnsi="Arial" w:cs="Arial"/>
          <w:bCs/>
        </w:rPr>
        <w:t xml:space="preserve"> qui s</w:t>
      </w:r>
      <w:r w:rsidR="006647A5">
        <w:rPr>
          <w:rFonts w:ascii="Arial" w:hAnsi="Arial" w:cs="Arial"/>
          <w:bCs/>
        </w:rPr>
        <w:t xml:space="preserve">e </w:t>
      </w:r>
      <w:r w:rsidR="00FF6785">
        <w:rPr>
          <w:rFonts w:ascii="Arial" w:hAnsi="Arial" w:cs="Arial"/>
          <w:bCs/>
        </w:rPr>
        <w:t xml:space="preserve">développent </w:t>
      </w:r>
      <w:r w:rsidR="006647A5">
        <w:rPr>
          <w:rFonts w:ascii="Arial" w:hAnsi="Arial" w:cs="Arial"/>
          <w:bCs/>
        </w:rPr>
        <w:t xml:space="preserve">sur cette unité de temps </w:t>
      </w:r>
      <w:r w:rsidR="00FF6785">
        <w:rPr>
          <w:rFonts w:ascii="Arial" w:hAnsi="Arial" w:cs="Arial"/>
          <w:bCs/>
        </w:rPr>
        <w:t xml:space="preserve">indiquent l’absence de </w:t>
      </w:r>
      <w:r w:rsidR="006647A5">
        <w:rPr>
          <w:rFonts w:ascii="Arial" w:hAnsi="Arial" w:cs="Arial"/>
          <w:bCs/>
        </w:rPr>
        <w:t>mouvement</w:t>
      </w:r>
      <w:r w:rsidR="00FF6785">
        <w:rPr>
          <w:rFonts w:ascii="Arial" w:hAnsi="Arial" w:cs="Arial"/>
          <w:bCs/>
        </w:rPr>
        <w:t>. L</w:t>
      </w:r>
      <w:r w:rsidR="000402E1">
        <w:rPr>
          <w:rFonts w:ascii="Arial" w:hAnsi="Arial" w:cs="Arial"/>
          <w:bCs/>
        </w:rPr>
        <w:t>a TS s’est aplatie sur 1.55</w:t>
      </w:r>
      <w:r w:rsidR="00FF6785">
        <w:rPr>
          <w:rFonts w:ascii="Arial" w:hAnsi="Arial" w:cs="Arial"/>
          <w:bCs/>
        </w:rPr>
        <w:t xml:space="preserve"> et servira de pivot. Un maintien du 10 ans US sous ce point avantagera le retour sur les bas récents et historiques. En dépassement de 1.55, le plat de KS de 1.76 servira de cible</w:t>
      </w:r>
      <w:r w:rsidR="00523CB6">
        <w:rPr>
          <w:rFonts w:ascii="Arial" w:hAnsi="Arial" w:cs="Arial"/>
          <w:bCs/>
        </w:rPr>
        <w:t xml:space="preserve"> après la cassure du haut récent de 1.66.</w:t>
      </w:r>
    </w:p>
    <w:p w:rsidR="00F72F88" w:rsidRPr="00636A76" w:rsidRDefault="00F72F88" w:rsidP="006E6472">
      <w:pPr>
        <w:jc w:val="both"/>
        <w:rPr>
          <w:rFonts w:ascii="Tahoma" w:hAnsi="Tahoma" w:cs="Tahoma"/>
        </w:rPr>
      </w:pPr>
    </w:p>
    <w:p w:rsidR="00523CB6" w:rsidRDefault="00F72829" w:rsidP="007A24CA">
      <w:pPr>
        <w:jc w:val="both"/>
        <w:rPr>
          <w:rFonts w:ascii="Arial" w:hAnsi="Arial" w:cs="Arial"/>
          <w:b/>
          <w:color w:val="00B050"/>
        </w:rPr>
      </w:pPr>
      <w:r w:rsidRPr="00637D32">
        <w:rPr>
          <w:rFonts w:ascii="Arial" w:hAnsi="Arial" w:cs="Arial"/>
          <w:b/>
          <w:color w:val="00B050"/>
          <w:u w:val="single"/>
        </w:rPr>
        <w:t>HEBDOMADAIRE</w:t>
      </w:r>
      <w:r w:rsidRPr="00637D32">
        <w:rPr>
          <w:rFonts w:ascii="Arial" w:hAnsi="Arial" w:cs="Arial"/>
          <w:b/>
          <w:color w:val="00B050"/>
        </w:rPr>
        <w:t xml:space="preserve"> : </w:t>
      </w:r>
      <w:r w:rsidR="00523CB6">
        <w:rPr>
          <w:rFonts w:ascii="Arial" w:hAnsi="Arial" w:cs="Arial"/>
          <w:b/>
          <w:color w:val="00B050"/>
        </w:rPr>
        <w:t>La baisse trop rapide du marché appelle à correction. Un dépassement de 1.55</w:t>
      </w:r>
      <w:r w:rsidR="006647A5">
        <w:rPr>
          <w:rFonts w:ascii="Arial" w:hAnsi="Arial" w:cs="Arial"/>
          <w:b/>
          <w:color w:val="00B050"/>
        </w:rPr>
        <w:t xml:space="preserve"> sera </w:t>
      </w:r>
      <w:r w:rsidR="00707283">
        <w:rPr>
          <w:rFonts w:ascii="Arial" w:hAnsi="Arial" w:cs="Arial"/>
          <w:b/>
          <w:color w:val="00B050"/>
        </w:rPr>
        <w:t>nécessaire</w:t>
      </w:r>
      <w:r w:rsidR="006647A5">
        <w:rPr>
          <w:rFonts w:ascii="Arial" w:hAnsi="Arial" w:cs="Arial"/>
          <w:b/>
          <w:color w:val="00B050"/>
        </w:rPr>
        <w:t xml:space="preserve"> pour</w:t>
      </w:r>
      <w:r w:rsidR="00523CB6">
        <w:rPr>
          <w:rFonts w:ascii="Arial" w:hAnsi="Arial" w:cs="Arial"/>
          <w:b/>
          <w:color w:val="00B050"/>
        </w:rPr>
        <w:t xml:space="preserve"> orienter le taux sur le plat de KS de 1.76 après la cassure du haut récent de 1.66. </w:t>
      </w:r>
    </w:p>
    <w:p w:rsidR="00D6392E" w:rsidRDefault="00131133" w:rsidP="007A24CA">
      <w:pPr>
        <w:jc w:val="both"/>
        <w:rPr>
          <w:rFonts w:ascii="Arial" w:hAnsi="Arial" w:cs="Arial"/>
          <w:b/>
          <w:color w:val="00B050"/>
        </w:rPr>
      </w:pPr>
      <w:r>
        <w:rPr>
          <w:rFonts w:ascii="Arial" w:hAnsi="Arial" w:cs="Arial"/>
          <w:b/>
          <w:color w:val="00B050"/>
        </w:rPr>
        <w:t xml:space="preserve"> </w:t>
      </w:r>
    </w:p>
    <w:p w:rsidR="00DA174A" w:rsidRDefault="00DA174A" w:rsidP="007A24CA">
      <w:pPr>
        <w:jc w:val="both"/>
        <w:rPr>
          <w:rFonts w:ascii="Arial" w:hAnsi="Arial" w:cs="Arial"/>
          <w:b/>
          <w:color w:val="00B050"/>
        </w:rPr>
      </w:pPr>
    </w:p>
    <w:p w:rsidR="003E3B64" w:rsidRDefault="003E3B64" w:rsidP="007A24CA">
      <w:pPr>
        <w:jc w:val="both"/>
        <w:rPr>
          <w:rFonts w:ascii="Arial" w:hAnsi="Arial" w:cs="Arial"/>
          <w:b/>
          <w:color w:val="00B050"/>
        </w:rPr>
      </w:pPr>
    </w:p>
    <w:p w:rsidR="00DA174A" w:rsidRDefault="00DA174A" w:rsidP="007A24CA">
      <w:pPr>
        <w:jc w:val="both"/>
        <w:rPr>
          <w:rFonts w:ascii="Arial" w:hAnsi="Arial" w:cs="Arial"/>
          <w:b/>
          <w:color w:val="00B050"/>
        </w:rPr>
      </w:pPr>
    </w:p>
    <w:p w:rsidR="00DA174A" w:rsidRDefault="00DA174A" w:rsidP="007A24CA">
      <w:pPr>
        <w:jc w:val="both"/>
        <w:rPr>
          <w:rFonts w:ascii="Arial" w:hAnsi="Arial" w:cs="Arial"/>
          <w:b/>
          <w:color w:val="00B050"/>
        </w:rPr>
      </w:pPr>
    </w:p>
    <w:p w:rsidR="00DA174A" w:rsidRPr="00637D32" w:rsidRDefault="00DA174A" w:rsidP="007A24CA">
      <w:pPr>
        <w:jc w:val="both"/>
        <w:rPr>
          <w:rFonts w:ascii="Arial" w:hAnsi="Arial" w:cs="Arial"/>
          <w:b/>
          <w:color w:val="00B050"/>
        </w:rPr>
      </w:pPr>
    </w:p>
    <w:p w:rsidR="00DC295E" w:rsidRPr="00AD7F6F" w:rsidRDefault="00D43DAB" w:rsidP="00896B9A">
      <w:pPr>
        <w:jc w:val="both"/>
        <w:rPr>
          <w:rFonts w:ascii="Arial" w:eastAsia="Calibri" w:hAnsi="Arial" w:cs="Arial"/>
          <w:b/>
        </w:rPr>
      </w:pPr>
      <w:r w:rsidRPr="00637D32">
        <w:rPr>
          <w:rFonts w:ascii="Arial" w:hAnsi="Arial" w:cs="Arial"/>
          <w:b/>
          <w:bCs/>
          <w:sz w:val="36"/>
          <w:szCs w:val="36"/>
        </w:rPr>
        <w:lastRenderedPageBreak/>
        <w:t xml:space="preserve">     </w:t>
      </w:r>
      <w:r w:rsidR="00292AF0" w:rsidRPr="00637D32">
        <w:rPr>
          <w:rFonts w:ascii="Arial" w:hAnsi="Arial" w:cs="Arial"/>
          <w:b/>
          <w:bCs/>
          <w:sz w:val="36"/>
          <w:szCs w:val="36"/>
        </w:rPr>
        <w:t xml:space="preserve">                       </w:t>
      </w:r>
      <w:r w:rsidRPr="00637D32">
        <w:rPr>
          <w:rFonts w:ascii="Arial" w:hAnsi="Arial" w:cs="Arial"/>
          <w:b/>
          <w:bCs/>
          <w:sz w:val="36"/>
          <w:szCs w:val="36"/>
        </w:rPr>
        <w:t xml:space="preserve"> </w:t>
      </w:r>
      <w:r w:rsidR="00FA4DDF" w:rsidRPr="00637D32">
        <w:rPr>
          <w:rFonts w:ascii="Arial" w:hAnsi="Arial" w:cs="Arial"/>
          <w:b/>
          <w:bCs/>
          <w:sz w:val="36"/>
          <w:szCs w:val="36"/>
        </w:rPr>
        <w:t xml:space="preserve">       </w:t>
      </w: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FC7AAC">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23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E9B"/>
    <w:rsid w:val="000A320E"/>
    <w:rsid w:val="000A3D69"/>
    <w:rsid w:val="000A4A04"/>
    <w:rsid w:val="000A6B9D"/>
    <w:rsid w:val="000A79EC"/>
    <w:rsid w:val="000B0BE6"/>
    <w:rsid w:val="000B156B"/>
    <w:rsid w:val="000B6ECC"/>
    <w:rsid w:val="000B712D"/>
    <w:rsid w:val="000B7137"/>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E1"/>
    <w:rsid w:val="001A3568"/>
    <w:rsid w:val="001A3886"/>
    <w:rsid w:val="001A5FB4"/>
    <w:rsid w:val="001A6D35"/>
    <w:rsid w:val="001A6E49"/>
    <w:rsid w:val="001A70FB"/>
    <w:rsid w:val="001A7163"/>
    <w:rsid w:val="001B0078"/>
    <w:rsid w:val="001B1120"/>
    <w:rsid w:val="001B1285"/>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5779"/>
    <w:rsid w:val="0031658C"/>
    <w:rsid w:val="003166BC"/>
    <w:rsid w:val="00316AC9"/>
    <w:rsid w:val="00317596"/>
    <w:rsid w:val="003219C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A3E"/>
    <w:rsid w:val="00346F7E"/>
    <w:rsid w:val="00347D77"/>
    <w:rsid w:val="003505F9"/>
    <w:rsid w:val="0035123F"/>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399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637"/>
    <w:rsid w:val="004C0997"/>
    <w:rsid w:val="004C107D"/>
    <w:rsid w:val="004C1D94"/>
    <w:rsid w:val="004C27FB"/>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4A9"/>
    <w:rsid w:val="005A7A3E"/>
    <w:rsid w:val="005B0422"/>
    <w:rsid w:val="005B08BC"/>
    <w:rsid w:val="005B0BD1"/>
    <w:rsid w:val="005B3E07"/>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307A"/>
    <w:rsid w:val="0079654C"/>
    <w:rsid w:val="007A24CA"/>
    <w:rsid w:val="007A2703"/>
    <w:rsid w:val="007A3466"/>
    <w:rsid w:val="007A54EF"/>
    <w:rsid w:val="007A5656"/>
    <w:rsid w:val="007A5C06"/>
    <w:rsid w:val="007A6C47"/>
    <w:rsid w:val="007A7562"/>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26D6"/>
    <w:rsid w:val="007E3F85"/>
    <w:rsid w:val="007E4A2B"/>
    <w:rsid w:val="007E4BB4"/>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6B9A"/>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7B36"/>
    <w:rsid w:val="008E1392"/>
    <w:rsid w:val="008E220D"/>
    <w:rsid w:val="008E2679"/>
    <w:rsid w:val="008E3AAB"/>
    <w:rsid w:val="008E426B"/>
    <w:rsid w:val="008E61D4"/>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6367"/>
    <w:rsid w:val="00996F48"/>
    <w:rsid w:val="00997475"/>
    <w:rsid w:val="009A0270"/>
    <w:rsid w:val="009A1149"/>
    <w:rsid w:val="009A1C33"/>
    <w:rsid w:val="009A3DAA"/>
    <w:rsid w:val="009A5436"/>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17957"/>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7C44"/>
    <w:rsid w:val="00B4102E"/>
    <w:rsid w:val="00B41142"/>
    <w:rsid w:val="00B4156D"/>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C31"/>
    <w:rsid w:val="00B81CAF"/>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4D07"/>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19"/>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6EBA"/>
    <w:rsid w:val="00CE068E"/>
    <w:rsid w:val="00CE21DB"/>
    <w:rsid w:val="00CE3206"/>
    <w:rsid w:val="00CE3955"/>
    <w:rsid w:val="00CE3BFE"/>
    <w:rsid w:val="00CE4DEC"/>
    <w:rsid w:val="00CE5C08"/>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B99"/>
    <w:rsid w:val="00E6336C"/>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844"/>
    <w:rsid w:val="00FB5FC1"/>
    <w:rsid w:val="00FB67B1"/>
    <w:rsid w:val="00FB69C9"/>
    <w:rsid w:val="00FB6C16"/>
    <w:rsid w:val="00FB7304"/>
    <w:rsid w:val="00FC04E2"/>
    <w:rsid w:val="00FC088B"/>
    <w:rsid w:val="00FC2714"/>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2358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3B684-EDD1-44D4-8089-BF6C990D5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6</Pages>
  <Words>485</Words>
  <Characters>2669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51</cp:revision>
  <cp:lastPrinted>2019-01-14T09:08:00Z</cp:lastPrinted>
  <dcterms:created xsi:type="dcterms:W3CDTF">2019-03-18T07:07:00Z</dcterms:created>
  <dcterms:modified xsi:type="dcterms:W3CDTF">2019-09-02T08:38:00Z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