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5F19" w:rsidRPr="00CF5F19" w:rsidRDefault="00CF5F19">
      <w:pPr>
        <w:rPr>
          <w:sz w:val="28"/>
          <w:szCs w:val="28"/>
          <w:u w:val="single"/>
        </w:rPr>
      </w:pPr>
      <w:bookmarkStart w:id="0" w:name="_Hlk32173083"/>
      <w:r w:rsidRPr="00CF5F19">
        <w:rPr>
          <w:sz w:val="28"/>
          <w:szCs w:val="28"/>
          <w:u w:val="single"/>
        </w:rPr>
        <w:t>Bund mensuel</w:t>
      </w:r>
    </w:p>
    <w:bookmarkEnd w:id="0"/>
    <w:p w:rsidR="00CF5F19" w:rsidRDefault="00CF5F19">
      <w:r>
        <w:rPr>
          <w:noProof/>
        </w:rPr>
        <w:drawing>
          <wp:inline distT="0" distB="0" distL="0" distR="0" wp14:anchorId="7C5814D3" wp14:editId="0FBE5415">
            <wp:extent cx="5760720" cy="42824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8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56D" w:rsidRDefault="00CF5F19">
      <w:r>
        <w:t>La baisse en avalement qui a débuté au cours du mois de septembre s’est terminé</w:t>
      </w:r>
      <w:r w:rsidR="00D173EC">
        <w:t>e</w:t>
      </w:r>
      <w:r>
        <w:t xml:space="preserve"> en novembre par un chandelier de type marteau. Cette bougie d’alerte n’a pas pour autant validé un rebond des </w:t>
      </w:r>
      <w:r w:rsidR="002F4DC4">
        <w:t>prix mais</w:t>
      </w:r>
      <w:r>
        <w:t xml:space="preserve"> elle le favoris</w:t>
      </w:r>
      <w:r w:rsidR="00D173EC">
        <w:t>e</w:t>
      </w:r>
      <w:r>
        <w:t xml:space="preserve">. La chandelle d’hésitation en doji du mois de décembre </w:t>
      </w:r>
      <w:r w:rsidR="00D173EC">
        <w:t xml:space="preserve">a </w:t>
      </w:r>
      <w:r>
        <w:t>marqu</w:t>
      </w:r>
      <w:r w:rsidR="00D173EC">
        <w:t>é</w:t>
      </w:r>
      <w:r>
        <w:t xml:space="preserve"> la fin du mouvement de baisse. Sans conviction particulière, une consolidation pouvait alors suivre cet enchainement de bougie</w:t>
      </w:r>
      <w:r w:rsidR="00D173EC">
        <w:t>s</w:t>
      </w:r>
      <w:r>
        <w:t xml:space="preserve"> d’autant plus que le plat de KS sur 168.27 (pout un plus bas à 169.12), était un support et un niveau d’attraction pour les prix.</w:t>
      </w:r>
    </w:p>
    <w:p w:rsidR="00CF5F19" w:rsidRDefault="00AC556D">
      <w:r>
        <w:t xml:space="preserve">Le chandelier blanc du mois de janvier, proche du support </w:t>
      </w:r>
      <w:r w:rsidR="00D173EC">
        <w:t xml:space="preserve">et </w:t>
      </w:r>
      <w:r>
        <w:t xml:space="preserve">matérialisé par le plat de KS </w:t>
      </w:r>
      <w:r w:rsidR="00D173EC">
        <w:t xml:space="preserve">a </w:t>
      </w:r>
      <w:r>
        <w:t>plac</w:t>
      </w:r>
      <w:r w:rsidR="00D173EC">
        <w:t>é</w:t>
      </w:r>
      <w:r>
        <w:t xml:space="preserve"> le contrat </w:t>
      </w:r>
      <w:r w:rsidR="002F4DC4">
        <w:t>Bund</w:t>
      </w:r>
      <w:r>
        <w:t xml:space="preserve"> dans un contexte favorable à une poursuite de la hausse</w:t>
      </w:r>
      <w:r w:rsidR="00D173EC">
        <w:t>. Tant que l</w:t>
      </w:r>
      <w:r>
        <w:t>es cours se maintien</w:t>
      </w:r>
      <w:r w:rsidR="00D173EC">
        <w:t>dro</w:t>
      </w:r>
      <w:r>
        <w:t xml:space="preserve">nt </w:t>
      </w:r>
      <w:r w:rsidR="002F4DC4">
        <w:t>au-dessus</w:t>
      </w:r>
      <w:r>
        <w:t xml:space="preserve"> de 172.87.</w:t>
      </w:r>
    </w:p>
    <w:p w:rsidR="00302C83" w:rsidRDefault="002F4DC4">
      <w:r>
        <w:t>Au-dessus</w:t>
      </w:r>
      <w:r w:rsidR="00302C83">
        <w:t xml:space="preserve"> de ce point, on pourra envisager un retour des prix sur les hauts récents de 179.67.</w:t>
      </w:r>
    </w:p>
    <w:p w:rsidR="0052361A" w:rsidRDefault="0052361A"/>
    <w:p w:rsidR="0052361A" w:rsidRDefault="0052361A"/>
    <w:p w:rsidR="0052361A" w:rsidRDefault="0052361A"/>
    <w:p w:rsidR="0052361A" w:rsidRDefault="0052361A"/>
    <w:p w:rsidR="0052361A" w:rsidRDefault="0052361A"/>
    <w:p w:rsidR="0052361A" w:rsidRDefault="0052361A"/>
    <w:p w:rsidR="0052361A" w:rsidRDefault="0052361A"/>
    <w:p w:rsidR="0052361A" w:rsidRPr="00CF5F19" w:rsidRDefault="0052361A" w:rsidP="0052361A">
      <w:pPr>
        <w:rPr>
          <w:sz w:val="28"/>
          <w:szCs w:val="28"/>
          <w:u w:val="single"/>
        </w:rPr>
      </w:pPr>
      <w:bookmarkStart w:id="1" w:name="_Hlk32173849"/>
      <w:r w:rsidRPr="00CF5F19">
        <w:rPr>
          <w:sz w:val="28"/>
          <w:szCs w:val="28"/>
          <w:u w:val="single"/>
        </w:rPr>
        <w:lastRenderedPageBreak/>
        <w:t xml:space="preserve">Bund </w:t>
      </w:r>
      <w:r>
        <w:rPr>
          <w:sz w:val="28"/>
          <w:szCs w:val="28"/>
          <w:u w:val="single"/>
        </w:rPr>
        <w:t>hebdomadaire</w:t>
      </w:r>
    </w:p>
    <w:bookmarkEnd w:id="1"/>
    <w:p w:rsidR="0052361A" w:rsidRDefault="0052361A"/>
    <w:p w:rsidR="0052361A" w:rsidRDefault="0052361A">
      <w:r>
        <w:rPr>
          <w:noProof/>
        </w:rPr>
        <w:drawing>
          <wp:inline distT="0" distB="0" distL="0" distR="0" wp14:anchorId="02F92EB4" wp14:editId="31811089">
            <wp:extent cx="5760720" cy="499110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48D4" w:rsidRDefault="001548D4">
      <w:r>
        <w:t xml:space="preserve">Le rebond du mois de janvier a trouvé comme limite le point haut de 175.30. La chandelle de baisse qui a suivi ce haut dessine une alerte baissière proche du nuage noir.  Cette dernière ne se matérialisera qu’en cassure de 173.40. Pour le moment, </w:t>
      </w:r>
      <w:r w:rsidR="002F4DC4">
        <w:t>au-dessus</w:t>
      </w:r>
      <w:r>
        <w:t xml:space="preserve"> du support de 173.40, on peut envisager un affaiblissement du courant haussier qui ne remet pas en question la hausse de ces dernières semaines.</w:t>
      </w:r>
    </w:p>
    <w:p w:rsidR="001548D4" w:rsidRDefault="001548D4">
      <w:r>
        <w:t xml:space="preserve">Les prix évoluent autour de leur niveau d’équilibre matérialisé par un plat de KS sur 174.48. Un dépassement prolongé et un maintien des prix </w:t>
      </w:r>
      <w:r w:rsidR="002F4DC4">
        <w:t>au-dessus</w:t>
      </w:r>
      <w:r>
        <w:t xml:space="preserve"> de ce point permettr</w:t>
      </w:r>
      <w:r w:rsidR="002A4063">
        <w:t xml:space="preserve">ont </w:t>
      </w:r>
      <w:r>
        <w:t>d’envisager une poursuite de la hausse vers l’objective de long terme de 179.67.</w:t>
      </w:r>
    </w:p>
    <w:p w:rsidR="00917D87" w:rsidRDefault="00917D87">
      <w:r>
        <w:t>En rupture de 173.40, le contrat trouvera en support son nuage qui forme une large entre 173.00 et 168.00.</w:t>
      </w:r>
    </w:p>
    <w:p w:rsidR="00D21325" w:rsidRDefault="00D21325">
      <w:r>
        <w:t>Quoi qu’il en soit, tant que le bas de 170.19 ne sera pas enfoncé, le plat de KS</w:t>
      </w:r>
      <w:r w:rsidR="001B0509">
        <w:t xml:space="preserve"> de 174.48 servira de force de rappel et aura pour effet d’attirer les prix à lui, limitant l’effet de baisse des prix en cassure de 173.40. </w:t>
      </w:r>
    </w:p>
    <w:p w:rsidR="008A7944" w:rsidRDefault="008A7944"/>
    <w:p w:rsidR="008A7944" w:rsidRPr="00CF5F19" w:rsidRDefault="008A7944" w:rsidP="008A7944">
      <w:pPr>
        <w:rPr>
          <w:sz w:val="28"/>
          <w:szCs w:val="28"/>
          <w:u w:val="single"/>
        </w:rPr>
      </w:pPr>
      <w:r w:rsidRPr="00CF5F19">
        <w:rPr>
          <w:sz w:val="28"/>
          <w:szCs w:val="28"/>
          <w:u w:val="single"/>
        </w:rPr>
        <w:lastRenderedPageBreak/>
        <w:t xml:space="preserve">Bund </w:t>
      </w:r>
      <w:r>
        <w:rPr>
          <w:sz w:val="28"/>
          <w:szCs w:val="28"/>
          <w:u w:val="single"/>
        </w:rPr>
        <w:t>jour</w:t>
      </w:r>
    </w:p>
    <w:p w:rsidR="008A7944" w:rsidRDefault="004B1BDF">
      <w:r>
        <w:rPr>
          <w:noProof/>
        </w:rPr>
        <w:drawing>
          <wp:inline distT="0" distB="0" distL="0" distR="0" wp14:anchorId="18748DC6" wp14:editId="4AB26165">
            <wp:extent cx="5760720" cy="4396740"/>
            <wp:effectExtent l="0" t="0" r="0" b="381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9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1BDF" w:rsidRDefault="004B1BDF"/>
    <w:p w:rsidR="004E54B4" w:rsidRDefault="002A4063">
      <w:r>
        <w:t>La</w:t>
      </w:r>
      <w:r w:rsidR="004B1BDF">
        <w:t xml:space="preserve"> baisse des prix depuis le sommet récent de 175.30 a pris </w:t>
      </w:r>
      <w:r>
        <w:t>à</w:t>
      </w:r>
      <w:r w:rsidR="004B1BDF">
        <w:t xml:space="preserve"> forme d’une structure de retournement. Cet</w:t>
      </w:r>
      <w:r w:rsidR="00D6227A">
        <w:t>te</w:t>
      </w:r>
      <w:r w:rsidR="004B1BDF">
        <w:t xml:space="preserve"> dernière a trouvé un point bas sur 173.40. Tant que ce support ne sera pas remis en cause, la </w:t>
      </w:r>
      <w:r>
        <w:t xml:space="preserve">hausse </w:t>
      </w:r>
      <w:r w:rsidR="004B1BDF">
        <w:t>sur cette unité de temps pourra être écartée.</w:t>
      </w:r>
    </w:p>
    <w:p w:rsidR="004B1BDF" w:rsidRDefault="004E54B4">
      <w:r>
        <w:t>Mais l</w:t>
      </w:r>
      <w:r w:rsidR="004B1BDF">
        <w:t xml:space="preserve">e changement de contexte </w:t>
      </w:r>
      <w:r>
        <w:t xml:space="preserve">sur le court terme </w:t>
      </w:r>
      <w:r w:rsidR="004B1BDF">
        <w:t>ne sera validé en cassure de 174.25 par la LS.</w:t>
      </w:r>
    </w:p>
    <w:p w:rsidR="004B1BDF" w:rsidRDefault="004B1BDF">
      <w:r>
        <w:t>Pour le moment, le plat de SSB et la croissance de la SSA nous indique</w:t>
      </w:r>
      <w:r w:rsidR="002A4063">
        <w:t>nt</w:t>
      </w:r>
      <w:bookmarkStart w:id="2" w:name="_GoBack"/>
      <w:bookmarkEnd w:id="2"/>
      <w:r>
        <w:t xml:space="preserve"> que les mouvements du contrat </w:t>
      </w:r>
      <w:r w:rsidR="004E54B4">
        <w:t xml:space="preserve">ne sont liés qu’à la volatilité des prix. Il faudra attendre la rupture de 175.30 pour envisager le développement d’une nouvelle tendance haussière en </w:t>
      </w:r>
      <w:r w:rsidR="002F4DC4">
        <w:t>direction</w:t>
      </w:r>
      <w:r w:rsidR="004E54B4">
        <w:t xml:space="preserve"> du sommet de 179.67.</w:t>
      </w:r>
      <w:r>
        <w:t xml:space="preserve"> </w:t>
      </w:r>
    </w:p>
    <w:p w:rsidR="00D6227A" w:rsidRDefault="00D6227A"/>
    <w:p w:rsidR="00D6227A" w:rsidRDefault="00D6227A"/>
    <w:sectPr w:rsidR="00D622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F19"/>
    <w:rsid w:val="001548D4"/>
    <w:rsid w:val="001B0509"/>
    <w:rsid w:val="002A4063"/>
    <w:rsid w:val="002F4DC4"/>
    <w:rsid w:val="00302C83"/>
    <w:rsid w:val="004B1BDF"/>
    <w:rsid w:val="004E54B4"/>
    <w:rsid w:val="0052361A"/>
    <w:rsid w:val="008A7944"/>
    <w:rsid w:val="00917D87"/>
    <w:rsid w:val="00AC556D"/>
    <w:rsid w:val="00CF5F19"/>
    <w:rsid w:val="00D173EC"/>
    <w:rsid w:val="00D21325"/>
    <w:rsid w:val="00D62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42105"/>
  <w15:chartTrackingRefBased/>
  <w15:docId w15:val="{06E60892-7DD9-4498-849D-6316E851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392</Words>
  <Characters>2156</Characters>
  <Application>Microsoft Office Word</Application>
  <DocSecurity>0</DocSecurity>
  <Lines>17</Lines>
  <Paragraphs>5</Paragraphs>
  <ScaleCrop>false</ScaleCrop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16</cp:revision>
  <dcterms:created xsi:type="dcterms:W3CDTF">2020-02-09T19:21:00Z</dcterms:created>
  <dcterms:modified xsi:type="dcterms:W3CDTF">2020-02-09T20:08:00Z</dcterms:modified>
</cp:coreProperties>
</file>