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7777777" w:rsidR="00902D2F" w:rsidRDefault="00902D2F" w:rsidP="00B41C02">
      <w:pPr>
        <w:jc w:val="both"/>
        <w:rPr>
          <w:rFonts w:ascii="Tahoma" w:hAnsi="Tahoma" w:cs="Tahoma"/>
        </w:rPr>
      </w:pPr>
    </w:p>
    <w:p w14:paraId="6A0F7EC2" w14:textId="54944351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 xml:space="preserve">Week   </w:t>
      </w:r>
      <w:r w:rsidR="00041E45" w:rsidRPr="00041E45">
        <w:rPr>
          <w:rFonts w:ascii="Tahoma" w:hAnsi="Tahoma" w:cs="Tahoma"/>
          <w:sz w:val="32"/>
          <w:szCs w:val="32"/>
          <w:u w:val="single"/>
        </w:rPr>
        <w:t>18</w:t>
      </w:r>
      <w:r w:rsidRPr="00041E45">
        <w:rPr>
          <w:rFonts w:ascii="Tahoma" w:hAnsi="Tahoma" w:cs="Tahoma"/>
          <w:sz w:val="32"/>
          <w:szCs w:val="32"/>
          <w:u w:val="single"/>
        </w:rPr>
        <w:t>-12-21</w:t>
      </w:r>
    </w:p>
    <w:p w14:paraId="6E5FD2FF" w14:textId="57FC421D" w:rsidR="00902D2F" w:rsidRDefault="00041E4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38139CA" wp14:editId="04B7A719">
            <wp:extent cx="5759411" cy="38862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930" cy="389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2B446" w14:textId="56E75B9B" w:rsidR="00902D2F" w:rsidRDefault="00902D2F" w:rsidP="00B41C02">
      <w:pPr>
        <w:jc w:val="both"/>
        <w:rPr>
          <w:rFonts w:ascii="Tahoma" w:hAnsi="Tahoma" w:cs="Tahoma"/>
        </w:rPr>
      </w:pPr>
    </w:p>
    <w:p w14:paraId="6EF17735" w14:textId="1265EAFE" w:rsidR="000833FB" w:rsidRDefault="00BB6D9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 xml:space="preserve">La longue chandelle noire </w:t>
      </w:r>
      <w:r>
        <w:rPr>
          <w:rFonts w:ascii="Tahoma" w:hAnsi="Tahoma" w:cs="Tahoma"/>
        </w:rPr>
        <w:t xml:space="preserve">de la semaine du 17 novembre </w:t>
      </w:r>
      <w:r w:rsidR="00467005">
        <w:rPr>
          <w:rFonts w:ascii="Tahoma" w:hAnsi="Tahoma" w:cs="Tahoma"/>
        </w:rPr>
        <w:t>pèse</w:t>
      </w:r>
      <w:r>
        <w:rPr>
          <w:rFonts w:ascii="Tahoma" w:hAnsi="Tahoma" w:cs="Tahoma"/>
        </w:rPr>
        <w:t xml:space="preserve"> toujours sur les échanges. En effet, les acheteurs continueront </w:t>
      </w:r>
      <w:r w:rsidR="00BD3FC1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douter tant que ce chandelier ne sera pas remis en cause. Le dépassement en </w:t>
      </w:r>
      <w:r w:rsidR="00467005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 son sommet </w:t>
      </w:r>
      <w:r w:rsidR="00772067">
        <w:rPr>
          <w:rFonts w:ascii="Tahoma" w:hAnsi="Tahoma" w:cs="Tahoma"/>
        </w:rPr>
        <w:t xml:space="preserve">de 4365 </w:t>
      </w:r>
      <w:r w:rsidR="00467005">
        <w:rPr>
          <w:rFonts w:ascii="Tahoma" w:hAnsi="Tahoma" w:cs="Tahoma"/>
        </w:rPr>
        <w:t>amènera</w:t>
      </w:r>
      <w:r w:rsidR="00772067">
        <w:rPr>
          <w:rFonts w:ascii="Tahoma" w:hAnsi="Tahoma" w:cs="Tahoma"/>
        </w:rPr>
        <w:t xml:space="preserve"> </w:t>
      </w:r>
      <w:r w:rsidR="00BD3FC1">
        <w:rPr>
          <w:rFonts w:ascii="Tahoma" w:hAnsi="Tahoma" w:cs="Tahoma"/>
        </w:rPr>
        <w:t>ainsi</w:t>
      </w:r>
      <w:r w:rsidR="00772067">
        <w:rPr>
          <w:rFonts w:ascii="Tahoma" w:hAnsi="Tahoma" w:cs="Tahoma"/>
        </w:rPr>
        <w:t xml:space="preserve"> les vendeurs à </w:t>
      </w:r>
      <w:r w:rsidR="00467005">
        <w:rPr>
          <w:rFonts w:ascii="Tahoma" w:hAnsi="Tahoma" w:cs="Tahoma"/>
        </w:rPr>
        <w:t>protéger</w:t>
      </w:r>
      <w:r w:rsidR="00772067">
        <w:rPr>
          <w:rFonts w:ascii="Tahoma" w:hAnsi="Tahoma" w:cs="Tahoma"/>
        </w:rPr>
        <w:t xml:space="preserve"> leurs positions shorts.</w:t>
      </w:r>
    </w:p>
    <w:p w14:paraId="56F8CBEC" w14:textId="7870BCE1" w:rsidR="00772067" w:rsidRDefault="00BD3FC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Plus récemment, l</w:t>
      </w:r>
      <w:r w:rsidR="002C0A31">
        <w:rPr>
          <w:rFonts w:ascii="Tahoma" w:hAnsi="Tahoma" w:cs="Tahoma"/>
        </w:rPr>
        <w:t>a dernière bougie noire est revenue en partie sur la hausse de la semaine précédente, action qui devrait rassurer les baissiers qui ont vu les prix rebondir</w:t>
      </w:r>
      <w:r>
        <w:rPr>
          <w:rFonts w:ascii="Tahoma" w:hAnsi="Tahoma" w:cs="Tahoma"/>
        </w:rPr>
        <w:t xml:space="preserve"> la semaine dernière.</w:t>
      </w:r>
    </w:p>
    <w:p w14:paraId="736DA40F" w14:textId="49299224" w:rsidR="002C0A31" w:rsidRDefault="002C0A3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difficile d’évoquer un courant baissier. L’indice évolue </w:t>
      </w:r>
      <w:r w:rsidR="0046700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bas récent de 3965, et il faudra attendre la rupture de ce support pour envisager </w:t>
      </w:r>
      <w:r w:rsidR="00546A5A">
        <w:rPr>
          <w:rFonts w:ascii="Tahoma" w:hAnsi="Tahoma" w:cs="Tahoma"/>
        </w:rPr>
        <w:t>l’arrivée de nouveaux vendeurs.</w:t>
      </w:r>
    </w:p>
    <w:p w14:paraId="14C9C6D4" w14:textId="4477468A" w:rsidR="00654380" w:rsidRDefault="00F04A6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l’environnement</w:t>
      </w:r>
      <w:r w:rsidR="00654380">
        <w:rPr>
          <w:rFonts w:ascii="Tahoma" w:hAnsi="Tahoma" w:cs="Tahoma"/>
        </w:rPr>
        <w:t xml:space="preserve"> de moyen </w:t>
      </w:r>
      <w:r w:rsidR="002003AD">
        <w:rPr>
          <w:rFonts w:ascii="Tahoma" w:hAnsi="Tahoma" w:cs="Tahoma"/>
        </w:rPr>
        <w:t xml:space="preserve">terme </w:t>
      </w:r>
      <w:r w:rsidR="00654380">
        <w:rPr>
          <w:rFonts w:ascii="Tahoma" w:hAnsi="Tahoma" w:cs="Tahoma"/>
        </w:rPr>
        <w:t xml:space="preserve">est haussier avec de prix et une LS qui évoluent </w:t>
      </w:r>
      <w:r w:rsidR="00467005">
        <w:rPr>
          <w:rFonts w:ascii="Tahoma" w:hAnsi="Tahoma" w:cs="Tahoma"/>
        </w:rPr>
        <w:t>au-dessus</w:t>
      </w:r>
      <w:r w:rsidR="00654380">
        <w:rPr>
          <w:rFonts w:ascii="Tahoma" w:hAnsi="Tahoma" w:cs="Tahoma"/>
        </w:rPr>
        <w:t xml:space="preserve"> de leur nuage respectif.</w:t>
      </w:r>
      <w:r w:rsidR="00FC7EA5">
        <w:rPr>
          <w:rFonts w:ascii="Tahoma" w:hAnsi="Tahoma" w:cs="Tahoma"/>
        </w:rPr>
        <w:t xml:space="preserve"> L’absence de mouvement se traduit par l’aplatissement des courbes Ichimoku. </w:t>
      </w:r>
    </w:p>
    <w:p w14:paraId="65B16AE1" w14:textId="3407A49D" w:rsidR="00583BC8" w:rsidRDefault="00FC7EA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46700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3904, le contexte restera à la consolidation dans un environnement haussier. Le plat de KS de 4160 fera office de force de rappel.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6677F72" w:rsidR="00583BC8" w:rsidRDefault="00DF072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B91419B" wp14:editId="57F9D3B0">
            <wp:extent cx="5759411" cy="3927764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354" cy="393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32271206" w:rsidR="00583BC8" w:rsidRDefault="00583BC8" w:rsidP="00B41C02">
      <w:pPr>
        <w:jc w:val="both"/>
        <w:rPr>
          <w:rFonts w:ascii="Tahoma" w:hAnsi="Tahoma" w:cs="Tahoma"/>
        </w:rPr>
      </w:pPr>
    </w:p>
    <w:p w14:paraId="0309C160" w14:textId="71058F43" w:rsidR="002B5CB1" w:rsidRDefault="00DF072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j’utiliserai la </w:t>
      </w:r>
      <w:r w:rsidR="00467005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(ou gap) pour </w:t>
      </w:r>
      <w:r w:rsidR="002421FE">
        <w:rPr>
          <w:rFonts w:ascii="Tahoma" w:hAnsi="Tahoma" w:cs="Tahoma"/>
        </w:rPr>
        <w:t xml:space="preserve">valider un changement de biais. Sous la borne haute de la </w:t>
      </w:r>
      <w:r w:rsidR="00467005">
        <w:rPr>
          <w:rFonts w:ascii="Tahoma" w:hAnsi="Tahoma" w:cs="Tahoma"/>
        </w:rPr>
        <w:t>fenêtre</w:t>
      </w:r>
      <w:r w:rsidR="002421FE">
        <w:rPr>
          <w:rFonts w:ascii="Tahoma" w:hAnsi="Tahoma" w:cs="Tahoma"/>
        </w:rPr>
        <w:t xml:space="preserve">, c’est-à-dire 4278, le biais sera neutre à baissier. Tant que les prix ne </w:t>
      </w:r>
      <w:r w:rsidR="00467005">
        <w:rPr>
          <w:rFonts w:ascii="Tahoma" w:hAnsi="Tahoma" w:cs="Tahoma"/>
        </w:rPr>
        <w:t>clôtureront</w:t>
      </w:r>
      <w:r w:rsidR="002421FE">
        <w:rPr>
          <w:rFonts w:ascii="Tahoma" w:hAnsi="Tahoma" w:cs="Tahoma"/>
        </w:rPr>
        <w:t xml:space="preserve"> pas </w:t>
      </w:r>
      <w:r w:rsidR="00467005">
        <w:rPr>
          <w:rFonts w:ascii="Tahoma" w:hAnsi="Tahoma" w:cs="Tahoma"/>
        </w:rPr>
        <w:t>au-dessus</w:t>
      </w:r>
      <w:r w:rsidR="002421FE">
        <w:rPr>
          <w:rFonts w:ascii="Tahoma" w:hAnsi="Tahoma" w:cs="Tahoma"/>
        </w:rPr>
        <w:t xml:space="preserve"> de 4278, le biais restera inchangé.</w:t>
      </w:r>
    </w:p>
    <w:p w14:paraId="50136545" w14:textId="5921AD92" w:rsidR="00837B38" w:rsidRDefault="00837B3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</w:t>
      </w:r>
      <w:r w:rsidR="002003AD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</w:t>
      </w:r>
      <w:r w:rsidR="002003AD">
        <w:rPr>
          <w:rFonts w:ascii="Tahoma" w:hAnsi="Tahoma" w:cs="Tahoma"/>
        </w:rPr>
        <w:t>évolution du</w:t>
      </w:r>
      <w:r>
        <w:rPr>
          <w:rFonts w:ascii="Tahoma" w:hAnsi="Tahoma" w:cs="Tahoma"/>
        </w:rPr>
        <w:t xml:space="preserve"> contexte sur le court terme</w:t>
      </w:r>
      <w:r w:rsidR="00FC1860">
        <w:rPr>
          <w:rFonts w:ascii="Tahoma" w:hAnsi="Tahoma" w:cs="Tahoma"/>
        </w:rPr>
        <w:t>, favorable à la baisse,</w:t>
      </w:r>
      <w:r>
        <w:rPr>
          <w:rFonts w:ascii="Tahoma" w:hAnsi="Tahoma" w:cs="Tahoma"/>
        </w:rPr>
        <w:t xml:space="preserve"> passera par l’établissement de l’indice sous le support de 4077.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350998BF" w14:textId="6C2C714E" w:rsidR="00467005" w:rsidRDefault="00467005" w:rsidP="00041E45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467005">
        <w:rPr>
          <w:rFonts w:ascii="Tahoma" w:hAnsi="Tahoma" w:cs="Tahoma"/>
          <w:sz w:val="32"/>
          <w:szCs w:val="32"/>
          <w:u w:val="single"/>
        </w:rPr>
        <w:t>Conclusion</w:t>
      </w:r>
    </w:p>
    <w:p w14:paraId="0003B719" w14:textId="1897F964" w:rsidR="00467005" w:rsidRPr="00467005" w:rsidRDefault="0046700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Neutre à baissier sous 4278. </w:t>
      </w:r>
      <w:r w:rsidR="00896554">
        <w:rPr>
          <w:rFonts w:ascii="Tahoma" w:hAnsi="Tahoma" w:cs="Tahoma"/>
        </w:rPr>
        <w:t xml:space="preserve">La baisse se poursuivra en cassure de 4077. Remise en cause de ce scénario </w:t>
      </w:r>
      <w:r w:rsidR="00BD3FC1">
        <w:rPr>
          <w:rFonts w:ascii="Tahoma" w:hAnsi="Tahoma" w:cs="Tahoma"/>
        </w:rPr>
        <w:t>au-dessus</w:t>
      </w:r>
      <w:r w:rsidR="00896554">
        <w:rPr>
          <w:rFonts w:ascii="Tahoma" w:hAnsi="Tahoma" w:cs="Tahoma"/>
        </w:rPr>
        <w:t xml:space="preserve"> de 4365.</w:t>
      </w: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41E45"/>
    <w:rsid w:val="000524C5"/>
    <w:rsid w:val="000833FB"/>
    <w:rsid w:val="00092058"/>
    <w:rsid w:val="000D4ED3"/>
    <w:rsid w:val="001018AD"/>
    <w:rsid w:val="00105B4E"/>
    <w:rsid w:val="00134AFA"/>
    <w:rsid w:val="0014687D"/>
    <w:rsid w:val="0015581D"/>
    <w:rsid w:val="00190995"/>
    <w:rsid w:val="001D474B"/>
    <w:rsid w:val="001F650A"/>
    <w:rsid w:val="002003AD"/>
    <w:rsid w:val="002421FE"/>
    <w:rsid w:val="00262E25"/>
    <w:rsid w:val="002A1F8E"/>
    <w:rsid w:val="002B5CB1"/>
    <w:rsid w:val="002C0A31"/>
    <w:rsid w:val="002F54B0"/>
    <w:rsid w:val="0030643B"/>
    <w:rsid w:val="00337611"/>
    <w:rsid w:val="00340FD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744696"/>
    <w:rsid w:val="00772067"/>
    <w:rsid w:val="0077545D"/>
    <w:rsid w:val="007A0E6C"/>
    <w:rsid w:val="007B661D"/>
    <w:rsid w:val="007D2085"/>
    <w:rsid w:val="0083454A"/>
    <w:rsid w:val="00837B38"/>
    <w:rsid w:val="00896554"/>
    <w:rsid w:val="008A7407"/>
    <w:rsid w:val="00902D2F"/>
    <w:rsid w:val="00961FDF"/>
    <w:rsid w:val="00983B7D"/>
    <w:rsid w:val="009A37C2"/>
    <w:rsid w:val="009F3AB8"/>
    <w:rsid w:val="00A11606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A68"/>
    <w:rsid w:val="00C82E98"/>
    <w:rsid w:val="00CE088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59</cp:revision>
  <dcterms:created xsi:type="dcterms:W3CDTF">2021-11-25T09:44:00Z</dcterms:created>
  <dcterms:modified xsi:type="dcterms:W3CDTF">2021-12-19T16:41:00Z</dcterms:modified>
</cp:coreProperties>
</file>