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93125" w14:textId="77777777" w:rsidR="00294387" w:rsidRDefault="00826F39">
      <w:pPr>
        <w:rPr>
          <w:sz w:val="48"/>
          <w:szCs w:val="48"/>
          <w:u w:val="single"/>
        </w:rPr>
      </w:pPr>
      <w:r w:rsidRPr="00826F39">
        <w:rPr>
          <w:sz w:val="48"/>
          <w:szCs w:val="48"/>
        </w:rPr>
        <w:t xml:space="preserve">                         </w:t>
      </w:r>
      <w:r w:rsidR="00D569E8" w:rsidRPr="00826F39">
        <w:rPr>
          <w:sz w:val="48"/>
          <w:szCs w:val="48"/>
          <w:u w:val="single"/>
        </w:rPr>
        <w:t xml:space="preserve">Etherum </w:t>
      </w:r>
    </w:p>
    <w:p w14:paraId="0322E408" w14:textId="5FAB83FE" w:rsidR="00826F39" w:rsidRPr="00826F39" w:rsidRDefault="00294387">
      <w:pPr>
        <w:rPr>
          <w:sz w:val="48"/>
          <w:szCs w:val="48"/>
          <w:u w:val="single"/>
        </w:rPr>
      </w:pPr>
      <w:r w:rsidRPr="00294387">
        <w:rPr>
          <w:sz w:val="48"/>
          <w:szCs w:val="48"/>
        </w:rPr>
        <w:t xml:space="preserve">                     </w:t>
      </w:r>
      <w:r w:rsidR="00D569E8" w:rsidRPr="00294387">
        <w:rPr>
          <w:sz w:val="48"/>
          <w:szCs w:val="48"/>
        </w:rPr>
        <w:t xml:space="preserve">   </w:t>
      </w:r>
      <w:r>
        <w:rPr>
          <w:sz w:val="32"/>
          <w:szCs w:val="32"/>
          <w:u w:val="single"/>
        </w:rPr>
        <w:t>(</w:t>
      </w:r>
      <w:r w:rsidR="007D29BB">
        <w:rPr>
          <w:sz w:val="32"/>
          <w:szCs w:val="32"/>
          <w:u w:val="single"/>
        </w:rPr>
        <w:t>Dimanche</w:t>
      </w:r>
      <w:r>
        <w:rPr>
          <w:sz w:val="32"/>
          <w:szCs w:val="32"/>
          <w:u w:val="single"/>
        </w:rPr>
        <w:t xml:space="preserve"> 23</w:t>
      </w:r>
      <w:r>
        <w:rPr>
          <w:sz w:val="32"/>
          <w:szCs w:val="32"/>
          <w:u w:val="single"/>
        </w:rPr>
        <w:t xml:space="preserve"> janvier</w:t>
      </w:r>
      <w:r>
        <w:rPr>
          <w:sz w:val="32"/>
          <w:szCs w:val="32"/>
          <w:u w:val="single"/>
        </w:rPr>
        <w:t xml:space="preserve"> à 15h00)</w:t>
      </w:r>
      <w:r w:rsidR="00D569E8" w:rsidRPr="00826F39">
        <w:rPr>
          <w:sz w:val="48"/>
          <w:szCs w:val="48"/>
          <w:u w:val="single"/>
        </w:rPr>
        <w:t xml:space="preserve"> </w:t>
      </w:r>
    </w:p>
    <w:p w14:paraId="31B1B352" w14:textId="0A86CF58" w:rsidR="0005563F" w:rsidRDefault="007D29BB">
      <w:pPr>
        <w:rPr>
          <w:sz w:val="32"/>
          <w:szCs w:val="32"/>
          <w:u w:val="single"/>
        </w:rPr>
      </w:pPr>
      <w:r w:rsidRPr="00D569E8">
        <w:rPr>
          <w:sz w:val="32"/>
          <w:szCs w:val="32"/>
          <w:u w:val="single"/>
        </w:rPr>
        <w:t>Hebdomadaire</w:t>
      </w:r>
      <w:r w:rsidR="00264400">
        <w:rPr>
          <w:sz w:val="32"/>
          <w:szCs w:val="32"/>
          <w:u w:val="single"/>
        </w:rPr>
        <w:t xml:space="preserve"> </w:t>
      </w:r>
    </w:p>
    <w:p w14:paraId="7E3AB3CD" w14:textId="2A01269F" w:rsidR="00D569E8" w:rsidRDefault="00EC6B85">
      <w:pPr>
        <w:rPr>
          <w:sz w:val="32"/>
          <w:szCs w:val="32"/>
          <w:u w:val="single"/>
        </w:rPr>
      </w:pPr>
      <w:r>
        <w:rPr>
          <w:noProof/>
        </w:rPr>
        <w:drawing>
          <wp:inline distT="0" distB="0" distL="0" distR="0" wp14:anchorId="0994C668" wp14:editId="790E05CB">
            <wp:extent cx="5760720" cy="2543118"/>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543118"/>
                    </a:xfrm>
                    <a:prstGeom prst="rect">
                      <a:avLst/>
                    </a:prstGeom>
                    <a:noFill/>
                    <a:ln>
                      <a:noFill/>
                    </a:ln>
                  </pic:spPr>
                </pic:pic>
              </a:graphicData>
            </a:graphic>
          </wp:inline>
        </w:drawing>
      </w:r>
    </w:p>
    <w:p w14:paraId="117559AA" w14:textId="09D74457" w:rsidR="00572015" w:rsidRDefault="004475E1" w:rsidP="00826F39">
      <w:pPr>
        <w:jc w:val="both"/>
        <w:rPr>
          <w:rFonts w:ascii="Tahoma" w:hAnsi="Tahoma" w:cs="Tahoma"/>
        </w:rPr>
      </w:pPr>
      <w:r>
        <w:rPr>
          <w:rFonts w:ascii="Tahoma" w:hAnsi="Tahoma" w:cs="Tahoma"/>
        </w:rPr>
        <w:t xml:space="preserve">La </w:t>
      </w:r>
      <w:r w:rsidR="00EC6B85">
        <w:rPr>
          <w:rFonts w:ascii="Tahoma" w:hAnsi="Tahoma" w:cs="Tahoma"/>
        </w:rPr>
        <w:t>structure de poussée identifiée la semaine dernière se classe dans les figures de poursuite de mouvement et la dernière longue bougie noire nous le confirme.</w:t>
      </w:r>
    </w:p>
    <w:p w14:paraId="22656984" w14:textId="4A4DC013" w:rsidR="00EC6B85" w:rsidRDefault="00EC6B85" w:rsidP="00826F39">
      <w:pPr>
        <w:jc w:val="both"/>
        <w:rPr>
          <w:rFonts w:ascii="Tahoma" w:hAnsi="Tahoma" w:cs="Tahoma"/>
        </w:rPr>
      </w:pPr>
      <w:r>
        <w:rPr>
          <w:rFonts w:ascii="Tahoma" w:hAnsi="Tahoma" w:cs="Tahoma"/>
        </w:rPr>
        <w:t>Cette dernière chandelle renforce un peu plus le contexte correctif qui se développe depuis plusieurs semaines.</w:t>
      </w:r>
      <w:r w:rsidR="00CB0B6C">
        <w:rPr>
          <w:rFonts w:ascii="Tahoma" w:hAnsi="Tahoma" w:cs="Tahoma"/>
        </w:rPr>
        <w:t xml:space="preserve"> La taille réduite des mèches </w:t>
      </w:r>
      <w:r w:rsidR="00222319">
        <w:rPr>
          <w:rFonts w:ascii="Tahoma" w:hAnsi="Tahoma" w:cs="Tahoma"/>
        </w:rPr>
        <w:t xml:space="preserve">indique </w:t>
      </w:r>
      <w:r w:rsidR="00645736">
        <w:rPr>
          <w:rFonts w:ascii="Tahoma" w:hAnsi="Tahoma" w:cs="Tahoma"/>
        </w:rPr>
        <w:t xml:space="preserve">l’absence de </w:t>
      </w:r>
      <w:r w:rsidR="007D29BB">
        <w:rPr>
          <w:rFonts w:ascii="Tahoma" w:hAnsi="Tahoma" w:cs="Tahoma"/>
        </w:rPr>
        <w:t>contre-courant</w:t>
      </w:r>
      <w:r w:rsidR="00645736">
        <w:rPr>
          <w:rFonts w:ascii="Tahoma" w:hAnsi="Tahoma" w:cs="Tahoma"/>
        </w:rPr>
        <w:t xml:space="preserve"> haussier sur la semaine.</w:t>
      </w:r>
      <w:r w:rsidR="00CB0B6C">
        <w:rPr>
          <w:rFonts w:ascii="Tahoma" w:hAnsi="Tahoma" w:cs="Tahoma"/>
        </w:rPr>
        <w:t xml:space="preserve"> </w:t>
      </w:r>
    </w:p>
    <w:p w14:paraId="5FD8E52D" w14:textId="4DD17294" w:rsidR="00F66D91" w:rsidRDefault="00CC268B" w:rsidP="00826F39">
      <w:pPr>
        <w:jc w:val="both"/>
        <w:rPr>
          <w:rFonts w:ascii="Tahoma" w:hAnsi="Tahoma" w:cs="Tahoma"/>
        </w:rPr>
      </w:pPr>
      <w:r>
        <w:rPr>
          <w:rFonts w:ascii="Tahoma" w:hAnsi="Tahoma" w:cs="Tahoma"/>
        </w:rPr>
        <w:t xml:space="preserve">La remise en cause de </w:t>
      </w:r>
      <w:r w:rsidR="00222319">
        <w:rPr>
          <w:rFonts w:ascii="Tahoma" w:hAnsi="Tahoma" w:cs="Tahoma"/>
        </w:rPr>
        <w:t>cette</w:t>
      </w:r>
      <w:r>
        <w:rPr>
          <w:rFonts w:ascii="Tahoma" w:hAnsi="Tahoma" w:cs="Tahoma"/>
        </w:rPr>
        <w:t xml:space="preserve"> baisse passera dans un premier temps par le dépassement du point médian du dernier chandelier</w:t>
      </w:r>
      <w:r w:rsidR="00222319">
        <w:rPr>
          <w:rFonts w:ascii="Tahoma" w:hAnsi="Tahoma" w:cs="Tahoma"/>
        </w:rPr>
        <w:t xml:space="preserve"> noir</w:t>
      </w:r>
      <w:r>
        <w:rPr>
          <w:rFonts w:ascii="Tahoma" w:hAnsi="Tahoma" w:cs="Tahoma"/>
        </w:rPr>
        <w:t>, c’est-à-dire 2525.</w:t>
      </w:r>
      <w:r w:rsidR="00F66D91">
        <w:rPr>
          <w:rFonts w:ascii="Tahoma" w:hAnsi="Tahoma" w:cs="Tahoma"/>
        </w:rPr>
        <w:t xml:space="preserve"> </w:t>
      </w:r>
    </w:p>
    <w:p w14:paraId="19E79C0B" w14:textId="42BF61FF" w:rsidR="001B5AB3" w:rsidRDefault="00F66D91" w:rsidP="00960940">
      <w:pPr>
        <w:jc w:val="both"/>
        <w:rPr>
          <w:rFonts w:ascii="Tahoma" w:hAnsi="Tahoma" w:cs="Tahoma"/>
        </w:rPr>
      </w:pPr>
      <w:r>
        <w:rPr>
          <w:rFonts w:ascii="Tahoma" w:hAnsi="Tahoma" w:cs="Tahoma"/>
        </w:rPr>
        <w:t>Les longues bougies noires doivent se former sur les sommets et non par en cours de tendance. Leur</w:t>
      </w:r>
      <w:r w:rsidR="001B5AB3">
        <w:rPr>
          <w:rFonts w:ascii="Tahoma" w:hAnsi="Tahoma" w:cs="Tahoma"/>
        </w:rPr>
        <w:t>s</w:t>
      </w:r>
      <w:r>
        <w:rPr>
          <w:rFonts w:ascii="Tahoma" w:hAnsi="Tahoma" w:cs="Tahoma"/>
        </w:rPr>
        <w:t xml:space="preserve"> formation</w:t>
      </w:r>
      <w:r w:rsidR="001B5AB3">
        <w:rPr>
          <w:rFonts w:ascii="Tahoma" w:hAnsi="Tahoma" w:cs="Tahoma"/>
        </w:rPr>
        <w:t>s</w:t>
      </w:r>
      <w:r>
        <w:rPr>
          <w:rFonts w:ascii="Tahoma" w:hAnsi="Tahoma" w:cs="Tahoma"/>
        </w:rPr>
        <w:t xml:space="preserve"> après une correction, peuvent placer les prix dans un environnement </w:t>
      </w:r>
      <w:r w:rsidR="007D29BB">
        <w:rPr>
          <w:rFonts w:ascii="Tahoma" w:hAnsi="Tahoma" w:cs="Tahoma"/>
        </w:rPr>
        <w:t>survendu</w:t>
      </w:r>
      <w:r>
        <w:rPr>
          <w:rFonts w:ascii="Tahoma" w:hAnsi="Tahoma" w:cs="Tahoma"/>
        </w:rPr>
        <w:t xml:space="preserve">, propice à un retournement. Mais selon la théorie une autre option est possible. Cette bougie peut être </w:t>
      </w:r>
      <w:r w:rsidR="00EF62FF">
        <w:rPr>
          <w:rFonts w:ascii="Tahoma" w:hAnsi="Tahoma" w:cs="Tahoma"/>
        </w:rPr>
        <w:t xml:space="preserve">aussi </w:t>
      </w:r>
      <w:r>
        <w:rPr>
          <w:rFonts w:ascii="Tahoma" w:hAnsi="Tahoma" w:cs="Tahoma"/>
        </w:rPr>
        <w:t>le cœur du mouvement, signifiant dans ce cas que l’on peut envisager une poursuite de la baisse</w:t>
      </w:r>
      <w:r w:rsidR="008828D3">
        <w:rPr>
          <w:rFonts w:ascii="Tahoma" w:hAnsi="Tahoma" w:cs="Tahoma"/>
        </w:rPr>
        <w:t xml:space="preserve">. </w:t>
      </w:r>
    </w:p>
    <w:p w14:paraId="711C3EDE" w14:textId="6387BB50" w:rsidR="00572015" w:rsidRDefault="008828D3" w:rsidP="00960940">
      <w:pPr>
        <w:jc w:val="both"/>
        <w:rPr>
          <w:rFonts w:ascii="Tahoma" w:hAnsi="Tahoma" w:cs="Tahoma"/>
        </w:rPr>
      </w:pPr>
      <w:r>
        <w:rPr>
          <w:rFonts w:ascii="Tahoma" w:hAnsi="Tahoma" w:cs="Tahoma"/>
        </w:rPr>
        <w:t xml:space="preserve">Dans ce contexte on surveillera avec attention la formation des chandelles en Daily. </w:t>
      </w:r>
      <w:r w:rsidR="005A11F2">
        <w:rPr>
          <w:rFonts w:ascii="Tahoma" w:hAnsi="Tahoma" w:cs="Tahoma"/>
        </w:rPr>
        <w:t xml:space="preserve">Mais </w:t>
      </w:r>
      <w:r w:rsidR="00183245">
        <w:rPr>
          <w:rFonts w:ascii="Tahoma" w:hAnsi="Tahoma" w:cs="Tahoma"/>
        </w:rPr>
        <w:t xml:space="preserve">pour envisager une poursuite de la baisse, </w:t>
      </w:r>
      <w:r w:rsidR="005A11F2">
        <w:rPr>
          <w:rFonts w:ascii="Tahoma" w:hAnsi="Tahoma" w:cs="Tahoma"/>
        </w:rPr>
        <w:t>il faudra attendra que l</w:t>
      </w:r>
      <w:r w:rsidR="001B5AB3">
        <w:rPr>
          <w:rFonts w:ascii="Tahoma" w:hAnsi="Tahoma" w:cs="Tahoma"/>
        </w:rPr>
        <w:t>a cryptomonnaie</w:t>
      </w:r>
      <w:r w:rsidR="005A11F2">
        <w:rPr>
          <w:rFonts w:ascii="Tahoma" w:hAnsi="Tahoma" w:cs="Tahoma"/>
        </w:rPr>
        <w:t xml:space="preserve"> </w:t>
      </w:r>
      <w:r w:rsidR="001B5AB3">
        <w:rPr>
          <w:rFonts w:ascii="Tahoma" w:hAnsi="Tahoma" w:cs="Tahoma"/>
        </w:rPr>
        <w:t xml:space="preserve">se </w:t>
      </w:r>
      <w:r w:rsidR="005A11F2">
        <w:rPr>
          <w:rFonts w:ascii="Tahoma" w:hAnsi="Tahoma" w:cs="Tahoma"/>
        </w:rPr>
        <w:t xml:space="preserve">positionnent sous </w:t>
      </w:r>
      <w:r w:rsidR="001B5AB3">
        <w:rPr>
          <w:rFonts w:ascii="Tahoma" w:hAnsi="Tahoma" w:cs="Tahoma"/>
        </w:rPr>
        <w:t>son</w:t>
      </w:r>
      <w:r w:rsidR="005A11F2">
        <w:rPr>
          <w:rFonts w:ascii="Tahoma" w:hAnsi="Tahoma" w:cs="Tahoma"/>
        </w:rPr>
        <w:t xml:space="preserve"> nuage </w:t>
      </w:r>
      <w:r w:rsidR="001B5AB3">
        <w:rPr>
          <w:rFonts w:ascii="Tahoma" w:hAnsi="Tahoma" w:cs="Tahoma"/>
        </w:rPr>
        <w:t xml:space="preserve">à </w:t>
      </w:r>
      <w:r w:rsidR="00307FBE">
        <w:rPr>
          <w:rFonts w:ascii="Tahoma" w:hAnsi="Tahoma" w:cs="Tahoma"/>
        </w:rPr>
        <w:t>1942</w:t>
      </w:r>
      <w:r w:rsidR="001B5AB3">
        <w:rPr>
          <w:rFonts w:ascii="Tahoma" w:hAnsi="Tahoma" w:cs="Tahoma"/>
        </w:rPr>
        <w:t xml:space="preserve">. </w:t>
      </w:r>
      <w:r w:rsidR="00EF62FF">
        <w:rPr>
          <w:rFonts w:ascii="Tahoma" w:hAnsi="Tahoma" w:cs="Tahoma"/>
        </w:rPr>
        <w:t>Cela donnera de l’espace au marché pour venir chercher le support de la LS situé sur</w:t>
      </w:r>
      <w:r w:rsidR="00307FBE">
        <w:rPr>
          <w:rFonts w:ascii="Tahoma" w:hAnsi="Tahoma" w:cs="Tahoma"/>
        </w:rPr>
        <w:t xml:space="preserve"> 870.</w:t>
      </w:r>
    </w:p>
    <w:p w14:paraId="5D1B55FE" w14:textId="7CBEEA94" w:rsidR="00DA4851" w:rsidRDefault="00DA4851" w:rsidP="007F6E22">
      <w:pPr>
        <w:jc w:val="both"/>
        <w:rPr>
          <w:rFonts w:ascii="Tahoma" w:hAnsi="Tahoma" w:cs="Tahoma"/>
        </w:rPr>
      </w:pPr>
    </w:p>
    <w:p w14:paraId="433A32E4" w14:textId="2ABF29E0" w:rsidR="00DA4851" w:rsidRDefault="00DA4851" w:rsidP="007F6E22">
      <w:pPr>
        <w:jc w:val="both"/>
        <w:rPr>
          <w:rFonts w:ascii="Tahoma" w:hAnsi="Tahoma" w:cs="Tahoma"/>
        </w:rPr>
      </w:pPr>
    </w:p>
    <w:p w14:paraId="02B63013" w14:textId="225EF723" w:rsidR="00DA4851" w:rsidRDefault="00DA4851" w:rsidP="007F6E22">
      <w:pPr>
        <w:jc w:val="both"/>
        <w:rPr>
          <w:rFonts w:ascii="Tahoma" w:hAnsi="Tahoma" w:cs="Tahoma"/>
        </w:rPr>
      </w:pPr>
    </w:p>
    <w:p w14:paraId="387A5E74" w14:textId="77777777" w:rsidR="00DA4851" w:rsidRDefault="00DA4851" w:rsidP="007F6E22">
      <w:pPr>
        <w:jc w:val="both"/>
        <w:rPr>
          <w:rFonts w:ascii="Tahoma" w:hAnsi="Tahoma" w:cs="Tahoma"/>
        </w:rPr>
      </w:pPr>
    </w:p>
    <w:p w14:paraId="303BAFF7" w14:textId="7A301C72" w:rsidR="00DA4851" w:rsidRPr="00DA4851" w:rsidRDefault="00DA4851" w:rsidP="007F6E22">
      <w:pPr>
        <w:jc w:val="both"/>
        <w:rPr>
          <w:sz w:val="32"/>
          <w:szCs w:val="32"/>
          <w:u w:val="single"/>
        </w:rPr>
      </w:pPr>
      <w:r w:rsidRPr="00DA4851">
        <w:rPr>
          <w:sz w:val="32"/>
          <w:szCs w:val="32"/>
          <w:u w:val="single"/>
        </w:rPr>
        <w:t>JOUR</w:t>
      </w:r>
      <w:r w:rsidR="003D1D17">
        <w:rPr>
          <w:sz w:val="32"/>
          <w:szCs w:val="32"/>
          <w:u w:val="single"/>
        </w:rPr>
        <w:t xml:space="preserve"> </w:t>
      </w:r>
    </w:p>
    <w:p w14:paraId="592A8BBD" w14:textId="1AA421D2" w:rsidR="00DA4851" w:rsidRDefault="00294387" w:rsidP="007F6E22">
      <w:pPr>
        <w:jc w:val="both"/>
        <w:rPr>
          <w:rFonts w:ascii="Tahoma" w:hAnsi="Tahoma" w:cs="Tahoma"/>
        </w:rPr>
      </w:pPr>
      <w:r>
        <w:rPr>
          <w:noProof/>
        </w:rPr>
        <w:lastRenderedPageBreak/>
        <w:drawing>
          <wp:inline distT="0" distB="0" distL="0" distR="0" wp14:anchorId="25B227B8" wp14:editId="6B999F38">
            <wp:extent cx="5759411" cy="3297382"/>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8701" cy="3302701"/>
                    </a:xfrm>
                    <a:prstGeom prst="rect">
                      <a:avLst/>
                    </a:prstGeom>
                    <a:noFill/>
                    <a:ln>
                      <a:noFill/>
                    </a:ln>
                  </pic:spPr>
                </pic:pic>
              </a:graphicData>
            </a:graphic>
          </wp:inline>
        </w:drawing>
      </w:r>
    </w:p>
    <w:p w14:paraId="63BB7B99" w14:textId="6991CD13" w:rsidR="00DA4851" w:rsidRDefault="00DA4851" w:rsidP="007F6E22">
      <w:pPr>
        <w:jc w:val="both"/>
        <w:rPr>
          <w:rFonts w:ascii="Tahoma" w:hAnsi="Tahoma" w:cs="Tahoma"/>
        </w:rPr>
      </w:pPr>
    </w:p>
    <w:p w14:paraId="31EEC55F" w14:textId="2B065101" w:rsidR="00342AFF" w:rsidRDefault="00372678" w:rsidP="00826F39">
      <w:pPr>
        <w:jc w:val="both"/>
        <w:rPr>
          <w:rFonts w:ascii="Tahoma" w:hAnsi="Tahoma" w:cs="Tahoma"/>
        </w:rPr>
      </w:pPr>
      <w:r>
        <w:rPr>
          <w:rFonts w:ascii="Tahoma" w:hAnsi="Tahoma" w:cs="Tahoma"/>
        </w:rPr>
        <w:t xml:space="preserve">La chandelle de vendredi a accentué le caractère </w:t>
      </w:r>
      <w:r w:rsidR="007D29BB">
        <w:rPr>
          <w:rFonts w:ascii="Tahoma" w:hAnsi="Tahoma" w:cs="Tahoma"/>
        </w:rPr>
        <w:t>survendu</w:t>
      </w:r>
      <w:r>
        <w:rPr>
          <w:rFonts w:ascii="Tahoma" w:hAnsi="Tahoma" w:cs="Tahoma"/>
        </w:rPr>
        <w:t xml:space="preserve"> des prix. Les indicateurs techniques (RSI, MACD et Stochastiques) ont rarement touché les niveaux sur lesquels ils sont aujourd’hui. De plus, cette chandelle a éloigné les cours de sa TS, confirmant ainsi </w:t>
      </w:r>
      <w:r w:rsidR="004E3D8B">
        <w:rPr>
          <w:rFonts w:ascii="Tahoma" w:hAnsi="Tahoma" w:cs="Tahoma"/>
        </w:rPr>
        <w:t xml:space="preserve">la </w:t>
      </w:r>
      <w:r w:rsidR="009136D7">
        <w:rPr>
          <w:rFonts w:ascii="Tahoma" w:hAnsi="Tahoma" w:cs="Tahoma"/>
        </w:rPr>
        <w:t>tension baissière.</w:t>
      </w:r>
    </w:p>
    <w:p w14:paraId="1FA3AA99" w14:textId="60EE624E" w:rsidR="008567DE" w:rsidRDefault="0027007C" w:rsidP="007F6E22">
      <w:pPr>
        <w:jc w:val="both"/>
        <w:rPr>
          <w:rFonts w:ascii="Tahoma" w:hAnsi="Tahoma" w:cs="Tahoma"/>
        </w:rPr>
      </w:pPr>
      <w:r>
        <w:rPr>
          <w:rFonts w:ascii="Tahoma" w:hAnsi="Tahoma" w:cs="Tahoma"/>
        </w:rPr>
        <w:t xml:space="preserve">Dans ce contexte, un rebond est possible. Mais il faudra attendre la remise en cause de la dernière longue chandelle noire pour envisager un retour d’acheteurs convaincus. Cette remise en cause passera dans un premier temps par l’établissement de la cryptomonnaie </w:t>
      </w:r>
      <w:r w:rsidR="007D29BB">
        <w:rPr>
          <w:rFonts w:ascii="Tahoma" w:hAnsi="Tahoma" w:cs="Tahoma"/>
        </w:rPr>
        <w:t>au-dessus</w:t>
      </w:r>
      <w:r>
        <w:rPr>
          <w:rFonts w:ascii="Tahoma" w:hAnsi="Tahoma" w:cs="Tahoma"/>
        </w:rPr>
        <w:t xml:space="preserve"> de 2450.</w:t>
      </w:r>
    </w:p>
    <w:p w14:paraId="28807833" w14:textId="741729C2" w:rsidR="00724520" w:rsidRPr="00D569E8" w:rsidRDefault="00724520" w:rsidP="007F6E22">
      <w:pPr>
        <w:jc w:val="both"/>
        <w:rPr>
          <w:rFonts w:ascii="Tahoma" w:hAnsi="Tahoma" w:cs="Tahoma"/>
        </w:rPr>
      </w:pPr>
      <w:r>
        <w:rPr>
          <w:rFonts w:ascii="Tahoma" w:hAnsi="Tahoma" w:cs="Tahoma"/>
        </w:rPr>
        <w:t>Quoi qu’il en soit, cette hausse restera inscrite dans un environnement baissier de court terme</w:t>
      </w:r>
    </w:p>
    <w:sectPr w:rsidR="00724520"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46E8B"/>
    <w:rsid w:val="0005563F"/>
    <w:rsid w:val="00092058"/>
    <w:rsid w:val="00110ADF"/>
    <w:rsid w:val="00113C92"/>
    <w:rsid w:val="00140A73"/>
    <w:rsid w:val="00183245"/>
    <w:rsid w:val="001B5AB3"/>
    <w:rsid w:val="00222319"/>
    <w:rsid w:val="002244B9"/>
    <w:rsid w:val="00264400"/>
    <w:rsid w:val="0027007C"/>
    <w:rsid w:val="00294387"/>
    <w:rsid w:val="002A5DC5"/>
    <w:rsid w:val="002C4CD0"/>
    <w:rsid w:val="002E7AF3"/>
    <w:rsid w:val="00306FDE"/>
    <w:rsid w:val="00307FBE"/>
    <w:rsid w:val="00342AFF"/>
    <w:rsid w:val="00372678"/>
    <w:rsid w:val="00394D2F"/>
    <w:rsid w:val="003D1D17"/>
    <w:rsid w:val="004475E1"/>
    <w:rsid w:val="00447D4B"/>
    <w:rsid w:val="004E3D8B"/>
    <w:rsid w:val="005440A4"/>
    <w:rsid w:val="00563CB1"/>
    <w:rsid w:val="00572015"/>
    <w:rsid w:val="005A11F2"/>
    <w:rsid w:val="00645736"/>
    <w:rsid w:val="00724520"/>
    <w:rsid w:val="00760FE2"/>
    <w:rsid w:val="007923BF"/>
    <w:rsid w:val="007D29BB"/>
    <w:rsid w:val="007F6E22"/>
    <w:rsid w:val="0081635D"/>
    <w:rsid w:val="00826F39"/>
    <w:rsid w:val="008567DE"/>
    <w:rsid w:val="008828D3"/>
    <w:rsid w:val="008F21BD"/>
    <w:rsid w:val="008F230F"/>
    <w:rsid w:val="008F7E7D"/>
    <w:rsid w:val="009136D7"/>
    <w:rsid w:val="0094194C"/>
    <w:rsid w:val="00960940"/>
    <w:rsid w:val="00967DAB"/>
    <w:rsid w:val="009B7066"/>
    <w:rsid w:val="00A04A9A"/>
    <w:rsid w:val="00A95C6D"/>
    <w:rsid w:val="00B10E70"/>
    <w:rsid w:val="00BB4354"/>
    <w:rsid w:val="00C07406"/>
    <w:rsid w:val="00CB0B6C"/>
    <w:rsid w:val="00CC268B"/>
    <w:rsid w:val="00D569E8"/>
    <w:rsid w:val="00DA4851"/>
    <w:rsid w:val="00DE19A2"/>
    <w:rsid w:val="00DE1CC8"/>
    <w:rsid w:val="00DE3513"/>
    <w:rsid w:val="00EC6B85"/>
    <w:rsid w:val="00EF62FF"/>
    <w:rsid w:val="00F17ECE"/>
    <w:rsid w:val="00F66D91"/>
    <w:rsid w:val="00F94E2A"/>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2</Pages>
  <Words>306</Words>
  <Characters>1686</Characters>
  <Application>Microsoft Office Word</Application>
  <DocSecurity>0</DocSecurity>
  <Lines>14</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58</cp:revision>
  <dcterms:created xsi:type="dcterms:W3CDTF">2021-12-13T10:46:00Z</dcterms:created>
  <dcterms:modified xsi:type="dcterms:W3CDTF">2022-01-23T15:03:00Z</dcterms:modified>
</cp:coreProperties>
</file>