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0C941678" w14:textId="245C44FE" w:rsidR="00BA7974" w:rsidRDefault="00BA7974" w:rsidP="00B41C02">
      <w:pPr>
        <w:jc w:val="both"/>
        <w:rPr>
          <w:rFonts w:ascii="Tahoma" w:hAnsi="Tahoma" w:cs="Tahoma"/>
          <w:sz w:val="32"/>
          <w:szCs w:val="32"/>
          <w:u w:val="single"/>
        </w:rPr>
      </w:pPr>
      <w:r w:rsidRPr="00BA7974">
        <w:rPr>
          <w:rFonts w:ascii="Tahoma" w:hAnsi="Tahoma" w:cs="Tahoma"/>
          <w:sz w:val="32"/>
          <w:szCs w:val="32"/>
        </w:rPr>
        <w:t xml:space="preserve">                   </w:t>
      </w:r>
      <w:r>
        <w:rPr>
          <w:rFonts w:ascii="Tahoma" w:hAnsi="Tahoma" w:cs="Tahoma"/>
          <w:sz w:val="32"/>
          <w:szCs w:val="32"/>
        </w:rPr>
        <w:t xml:space="preserve">          </w:t>
      </w:r>
      <w:r>
        <w:rPr>
          <w:rFonts w:ascii="Tahoma" w:hAnsi="Tahoma" w:cs="Tahoma"/>
          <w:sz w:val="32"/>
          <w:szCs w:val="32"/>
          <w:u w:val="single"/>
        </w:rPr>
        <w:t>Au 30 janvier 2022</w:t>
      </w:r>
    </w:p>
    <w:p w14:paraId="6A0F7EC2" w14:textId="073EBAE2"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A43E227" w:rsidR="00902D2F" w:rsidRDefault="00B44099" w:rsidP="00B41C02">
      <w:pPr>
        <w:jc w:val="both"/>
        <w:rPr>
          <w:rFonts w:ascii="Tahoma" w:hAnsi="Tahoma" w:cs="Tahoma"/>
        </w:rPr>
      </w:pPr>
      <w:r>
        <w:rPr>
          <w:noProof/>
        </w:rPr>
        <w:drawing>
          <wp:inline distT="0" distB="0" distL="0" distR="0" wp14:anchorId="7947DF69" wp14:editId="1D898C70">
            <wp:extent cx="5760691" cy="356616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73460" cy="3574065"/>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7E121E1F"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B44099">
        <w:rPr>
          <w:rFonts w:ascii="Tahoma" w:hAnsi="Tahoma" w:cs="Tahoma"/>
        </w:rPr>
        <w:t>a baisse s’est poursuivie au cours de la semaine pour revenir sur 4027, a</w:t>
      </w:r>
      <w:r w:rsidR="00F705AF">
        <w:rPr>
          <w:rFonts w:ascii="Tahoma" w:hAnsi="Tahoma" w:cs="Tahoma"/>
        </w:rPr>
        <w:t>vec</w:t>
      </w:r>
      <w:r w:rsidR="00B44099">
        <w:rPr>
          <w:rFonts w:ascii="Tahoma" w:hAnsi="Tahoma" w:cs="Tahoma"/>
        </w:rPr>
        <w:t xml:space="preserve"> un bas à 4035.</w:t>
      </w:r>
    </w:p>
    <w:p w14:paraId="2DA05B8C" w14:textId="7BEB42A2" w:rsidR="00B44099" w:rsidRDefault="00B44099" w:rsidP="00263ED0">
      <w:pPr>
        <w:jc w:val="both"/>
        <w:rPr>
          <w:rFonts w:ascii="Tahoma" w:hAnsi="Tahoma" w:cs="Tahoma"/>
        </w:rPr>
      </w:pPr>
      <w:r>
        <w:rPr>
          <w:rFonts w:ascii="Tahoma" w:hAnsi="Tahoma" w:cs="Tahoma"/>
        </w:rPr>
        <w:t xml:space="preserve">Les trois dernières chandelles noires peuvent s’apparenter à une figure de renversement baissier en trois corbeaux mais la mèche basse du dernier chandelier remet en </w:t>
      </w:r>
      <w:r w:rsidR="008A4387">
        <w:rPr>
          <w:rFonts w:ascii="Tahoma" w:hAnsi="Tahoma" w:cs="Tahoma"/>
        </w:rPr>
        <w:t xml:space="preserve">question </w:t>
      </w:r>
      <w:r w:rsidR="00546E9D">
        <w:rPr>
          <w:rFonts w:ascii="Tahoma" w:hAnsi="Tahoma" w:cs="Tahoma"/>
        </w:rPr>
        <w:t>la vitalité du mouvement de baisse. En effet cette ombre basse nous indique qu’une partie des investisseurs ont trouvé opportun d’ouvrir des positions longues sur les bas récents. Cette mèche nous indique aussi que les vendeurs n</w:t>
      </w:r>
      <w:r w:rsidR="00254D3B">
        <w:rPr>
          <w:rFonts w:ascii="Tahoma" w:hAnsi="Tahoma" w:cs="Tahoma"/>
        </w:rPr>
        <w:t>’ont pu faire face au</w:t>
      </w:r>
      <w:r w:rsidR="00D11A4F">
        <w:rPr>
          <w:rFonts w:ascii="Tahoma" w:hAnsi="Tahoma" w:cs="Tahoma"/>
        </w:rPr>
        <w:t>x</w:t>
      </w:r>
      <w:r w:rsidR="00254D3B">
        <w:rPr>
          <w:rFonts w:ascii="Tahoma" w:hAnsi="Tahoma" w:cs="Tahoma"/>
        </w:rPr>
        <w:t xml:space="preserve"> flux acheteurs.</w:t>
      </w:r>
    </w:p>
    <w:p w14:paraId="65B16AE1" w14:textId="6D3E6E45" w:rsidR="00583BC8" w:rsidRDefault="006F02F4" w:rsidP="00B41C02">
      <w:pPr>
        <w:jc w:val="both"/>
        <w:rPr>
          <w:rFonts w:ascii="Tahoma" w:hAnsi="Tahoma" w:cs="Tahoma"/>
        </w:rPr>
      </w:pPr>
      <w:r>
        <w:rPr>
          <w:rFonts w:ascii="Tahoma" w:hAnsi="Tahoma" w:cs="Tahoma"/>
        </w:rPr>
        <w:t xml:space="preserve">Cette </w:t>
      </w:r>
      <w:r w:rsidR="00F705AF">
        <w:rPr>
          <w:rFonts w:ascii="Tahoma" w:hAnsi="Tahoma" w:cs="Tahoma"/>
        </w:rPr>
        <w:t>mèche</w:t>
      </w:r>
      <w:r>
        <w:rPr>
          <w:rFonts w:ascii="Tahoma" w:hAnsi="Tahoma" w:cs="Tahoma"/>
        </w:rPr>
        <w:t xml:space="preserve"> est un signal positif mais son impact reste tout de même relativement faible par rapport au</w:t>
      </w:r>
      <w:r w:rsidR="00937B50">
        <w:rPr>
          <w:rFonts w:ascii="Tahoma" w:hAnsi="Tahoma" w:cs="Tahoma"/>
        </w:rPr>
        <w:t>x</w:t>
      </w:r>
      <w:r>
        <w:rPr>
          <w:rFonts w:ascii="Tahoma" w:hAnsi="Tahoma" w:cs="Tahoma"/>
        </w:rPr>
        <w:t xml:space="preserve"> trois corps vrais noirs qui la </w:t>
      </w:r>
      <w:r w:rsidR="00F705AF">
        <w:rPr>
          <w:rFonts w:ascii="Tahoma" w:hAnsi="Tahoma" w:cs="Tahoma"/>
        </w:rPr>
        <w:t>précède</w:t>
      </w:r>
      <w:r>
        <w:rPr>
          <w:rFonts w:ascii="Tahoma" w:hAnsi="Tahoma" w:cs="Tahoma"/>
        </w:rPr>
        <w:t>.</w:t>
      </w:r>
    </w:p>
    <w:p w14:paraId="5E86751C" w14:textId="05F19C61" w:rsidR="006F02F4" w:rsidRDefault="00463841" w:rsidP="00B41C02">
      <w:pPr>
        <w:jc w:val="both"/>
        <w:rPr>
          <w:rFonts w:ascii="Tahoma" w:hAnsi="Tahoma" w:cs="Tahoma"/>
        </w:rPr>
      </w:pPr>
      <w:r>
        <w:rPr>
          <w:rFonts w:ascii="Tahoma" w:hAnsi="Tahoma" w:cs="Tahoma"/>
        </w:rPr>
        <w:t xml:space="preserve">TS et KS vont </w:t>
      </w:r>
      <w:r w:rsidR="00F705AF">
        <w:rPr>
          <w:rFonts w:ascii="Tahoma" w:hAnsi="Tahoma" w:cs="Tahoma"/>
        </w:rPr>
        <w:t>rester</w:t>
      </w:r>
      <w:r>
        <w:rPr>
          <w:rFonts w:ascii="Tahoma" w:hAnsi="Tahoma" w:cs="Tahoma"/>
        </w:rPr>
        <w:t xml:space="preserve"> plates un certain temps. Leur forme nous montre que le marché n’est plus en mouvement ce qui indique l’absence de convictions fortes des deux cotés des forces en présence. Cette observation m’</w:t>
      </w:r>
      <w:r w:rsidR="00F705AF">
        <w:rPr>
          <w:rFonts w:ascii="Tahoma" w:hAnsi="Tahoma" w:cs="Tahoma"/>
        </w:rPr>
        <w:t>amène</w:t>
      </w:r>
      <w:r>
        <w:rPr>
          <w:rFonts w:ascii="Tahoma" w:hAnsi="Tahoma" w:cs="Tahoma"/>
        </w:rPr>
        <w:t xml:space="preserve"> à minorer l’interprétation des chandelles et même si je pense que les prix vont continuer de progresser après le rebond sur 4035, la hausse sera limitée dans un premier à la zone formée par les plats KS TS soit respectivement 4190 4211. </w:t>
      </w:r>
    </w:p>
    <w:p w14:paraId="7AC4D2D2" w14:textId="6BD8CD94" w:rsidR="00DF072F" w:rsidRDefault="00DF072F" w:rsidP="00B41C02">
      <w:pPr>
        <w:jc w:val="both"/>
        <w:rPr>
          <w:rFonts w:ascii="Tahoma" w:hAnsi="Tahoma" w:cs="Tahoma"/>
        </w:rPr>
      </w:pPr>
    </w:p>
    <w:p w14:paraId="374D1F17" w14:textId="20200879" w:rsidR="00583BC8" w:rsidRDefault="00BA7974" w:rsidP="00B41C02">
      <w:pPr>
        <w:jc w:val="both"/>
        <w:rPr>
          <w:rFonts w:ascii="Tahoma" w:hAnsi="Tahoma" w:cs="Tahoma"/>
        </w:rPr>
      </w:pPr>
      <w:r>
        <w:rPr>
          <w:rFonts w:ascii="Tahoma" w:hAnsi="Tahoma" w:cs="Tahoma"/>
        </w:rPr>
        <w:t xml:space="preserve"> </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3ED3530" w:rsidR="00583BC8" w:rsidRDefault="00634958" w:rsidP="00B41C02">
      <w:pPr>
        <w:jc w:val="both"/>
        <w:rPr>
          <w:rFonts w:ascii="Tahoma" w:hAnsi="Tahoma" w:cs="Tahoma"/>
        </w:rPr>
      </w:pPr>
      <w:r>
        <w:rPr>
          <w:noProof/>
        </w:rPr>
        <w:lastRenderedPageBreak/>
        <w:drawing>
          <wp:inline distT="0" distB="0" distL="0" distR="0" wp14:anchorId="3E1E17D4" wp14:editId="64E0F9FF">
            <wp:extent cx="5760085" cy="329946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6785" cy="3303298"/>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5869A817" w14:textId="77777777" w:rsidR="00F705AF" w:rsidRDefault="00352DD9" w:rsidP="00263ED0">
      <w:pPr>
        <w:jc w:val="both"/>
        <w:rPr>
          <w:rFonts w:ascii="Tahoma" w:hAnsi="Tahoma" w:cs="Tahoma"/>
        </w:rPr>
      </w:pPr>
      <w:r>
        <w:rPr>
          <w:rFonts w:ascii="Tahoma" w:hAnsi="Tahoma" w:cs="Tahoma"/>
        </w:rPr>
        <w:t>L</w:t>
      </w:r>
      <w:r w:rsidR="00634958">
        <w:rPr>
          <w:rFonts w:ascii="Tahoma" w:hAnsi="Tahoma" w:cs="Tahoma"/>
        </w:rPr>
        <w:t xml:space="preserve">e rebond des prix trouve son explication sur le court terme. </w:t>
      </w:r>
      <w:r w:rsidR="00B2541B">
        <w:rPr>
          <w:rFonts w:ascii="Tahoma" w:hAnsi="Tahoma" w:cs="Tahoma"/>
        </w:rPr>
        <w:t xml:space="preserve">C’est une bonne chose </w:t>
      </w:r>
      <w:r w:rsidR="00F705AF">
        <w:rPr>
          <w:rFonts w:ascii="Tahoma" w:hAnsi="Tahoma" w:cs="Tahoma"/>
        </w:rPr>
        <w:t xml:space="preserve">pour les haussiers </w:t>
      </w:r>
      <w:r w:rsidR="00B2541B">
        <w:rPr>
          <w:rFonts w:ascii="Tahoma" w:hAnsi="Tahoma" w:cs="Tahoma"/>
        </w:rPr>
        <w:t xml:space="preserve">parce qu’elle permet de penser que la baisse est pour le moment écartée. </w:t>
      </w:r>
    </w:p>
    <w:p w14:paraId="710BA38C" w14:textId="5C4EDC63" w:rsidR="00163C46" w:rsidRDefault="00634958" w:rsidP="00263ED0">
      <w:pPr>
        <w:jc w:val="both"/>
        <w:rPr>
          <w:rFonts w:ascii="Tahoma" w:hAnsi="Tahoma" w:cs="Tahoma"/>
        </w:rPr>
      </w:pPr>
      <w:r>
        <w:rPr>
          <w:rFonts w:ascii="Tahoma" w:hAnsi="Tahoma" w:cs="Tahoma"/>
        </w:rPr>
        <w:t>Comme je l’ai déjà mentionné les semaines précédentes, l’indice évolue au sein d’une dérive latérale compris entre 4030 et 4400 avec une zone d’équilibre sur 4220.</w:t>
      </w:r>
    </w:p>
    <w:p w14:paraId="726BBEBD" w14:textId="06942A86" w:rsidR="00634958" w:rsidRDefault="00634958" w:rsidP="00263ED0">
      <w:pPr>
        <w:jc w:val="both"/>
        <w:rPr>
          <w:rFonts w:ascii="Tahoma" w:hAnsi="Tahoma" w:cs="Tahoma"/>
        </w:rPr>
      </w:pPr>
      <w:r>
        <w:rPr>
          <w:rFonts w:ascii="Tahoma" w:hAnsi="Tahoma" w:cs="Tahoma"/>
        </w:rPr>
        <w:t xml:space="preserve">La dernière chandelle, bien que noire nous montre que la reprise de la baisse après </w:t>
      </w:r>
      <w:r w:rsidR="00F705AF">
        <w:rPr>
          <w:rFonts w:ascii="Tahoma" w:hAnsi="Tahoma" w:cs="Tahoma"/>
        </w:rPr>
        <w:t>deux séances</w:t>
      </w:r>
      <w:r>
        <w:rPr>
          <w:rFonts w:ascii="Tahoma" w:hAnsi="Tahoma" w:cs="Tahoma"/>
        </w:rPr>
        <w:t xml:space="preserve"> de hausse, </w:t>
      </w:r>
      <w:r w:rsidR="00F705AF">
        <w:rPr>
          <w:rFonts w:ascii="Tahoma" w:hAnsi="Tahoma" w:cs="Tahoma"/>
        </w:rPr>
        <w:t>n’a pas fait l’unanimité</w:t>
      </w:r>
      <w:r>
        <w:rPr>
          <w:rFonts w:ascii="Tahoma" w:hAnsi="Tahoma" w:cs="Tahoma"/>
        </w:rPr>
        <w:t>. Cette baisse aurait pourtant permis de casser le support de 4030 et de placer l’Eurostoxx50 dans une configuration baissière.</w:t>
      </w:r>
    </w:p>
    <w:p w14:paraId="693B6C38" w14:textId="5FCC9E7B" w:rsidR="00634958" w:rsidRDefault="00B2541B" w:rsidP="00263ED0">
      <w:pPr>
        <w:jc w:val="both"/>
        <w:rPr>
          <w:rFonts w:ascii="Tahoma" w:hAnsi="Tahoma" w:cs="Tahoma"/>
        </w:rPr>
      </w:pPr>
      <w:r>
        <w:rPr>
          <w:rFonts w:ascii="Tahoma" w:hAnsi="Tahoma" w:cs="Tahoma"/>
        </w:rPr>
        <w:t xml:space="preserve">Dans ce contexte, </w:t>
      </w:r>
      <w:r w:rsidR="00634958">
        <w:rPr>
          <w:rFonts w:ascii="Tahoma" w:hAnsi="Tahoma" w:cs="Tahoma"/>
        </w:rPr>
        <w:t>les cours devront s’affranchir de la résistance de 4220 pour envisager une poursuite de la hausse sur 4400.</w:t>
      </w:r>
    </w:p>
    <w:p w14:paraId="2DBCE72B" w14:textId="4A1C4754" w:rsidR="00B37282" w:rsidRDefault="00B37282" w:rsidP="00263ED0">
      <w:pPr>
        <w:jc w:val="both"/>
        <w:rPr>
          <w:rFonts w:ascii="Tahoma" w:hAnsi="Tahoma" w:cs="Tahoma"/>
        </w:rPr>
      </w:pPr>
      <w:r>
        <w:rPr>
          <w:rFonts w:ascii="Tahoma" w:hAnsi="Tahoma" w:cs="Tahoma"/>
        </w:rPr>
        <w:t>Sans ce dépassement, le marché continuera d’évoluer en zone basse</w:t>
      </w:r>
      <w:r w:rsidR="00B2541B">
        <w:rPr>
          <w:rFonts w:ascii="Tahoma" w:hAnsi="Tahoma" w:cs="Tahoma"/>
        </w:rPr>
        <w:t xml:space="preserve"> de prix, </w:t>
      </w:r>
      <w:r>
        <w:rPr>
          <w:rFonts w:ascii="Tahoma" w:hAnsi="Tahoma" w:cs="Tahoma"/>
        </w:rPr>
        <w:t>compris entre 4220 et 4030.</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655E9AC0" w14:textId="77777777" w:rsidR="00723F77" w:rsidRDefault="00723F77"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54D3B"/>
    <w:rsid w:val="00262E25"/>
    <w:rsid w:val="00263ED0"/>
    <w:rsid w:val="002A1F8E"/>
    <w:rsid w:val="002B5CB1"/>
    <w:rsid w:val="002C0A31"/>
    <w:rsid w:val="002F54B0"/>
    <w:rsid w:val="0030643B"/>
    <w:rsid w:val="00337611"/>
    <w:rsid w:val="00340FD9"/>
    <w:rsid w:val="00352DD9"/>
    <w:rsid w:val="0040171B"/>
    <w:rsid w:val="00463841"/>
    <w:rsid w:val="00467005"/>
    <w:rsid w:val="004A5154"/>
    <w:rsid w:val="00531928"/>
    <w:rsid w:val="005440A4"/>
    <w:rsid w:val="00546A5A"/>
    <w:rsid w:val="00546E9D"/>
    <w:rsid w:val="00566580"/>
    <w:rsid w:val="00567AF3"/>
    <w:rsid w:val="00583BC8"/>
    <w:rsid w:val="00634958"/>
    <w:rsid w:val="00654380"/>
    <w:rsid w:val="006E32BB"/>
    <w:rsid w:val="006F02F4"/>
    <w:rsid w:val="00723F77"/>
    <w:rsid w:val="00744696"/>
    <w:rsid w:val="00772067"/>
    <w:rsid w:val="0077545D"/>
    <w:rsid w:val="007A0E6C"/>
    <w:rsid w:val="007B661D"/>
    <w:rsid w:val="007D19FF"/>
    <w:rsid w:val="007D2085"/>
    <w:rsid w:val="0083454A"/>
    <w:rsid w:val="00837B38"/>
    <w:rsid w:val="00896554"/>
    <w:rsid w:val="008A4387"/>
    <w:rsid w:val="008A7407"/>
    <w:rsid w:val="008F10C2"/>
    <w:rsid w:val="00902D2F"/>
    <w:rsid w:val="00937B50"/>
    <w:rsid w:val="00961FDF"/>
    <w:rsid w:val="00983B7D"/>
    <w:rsid w:val="009A37C2"/>
    <w:rsid w:val="009F3AB8"/>
    <w:rsid w:val="00A11606"/>
    <w:rsid w:val="00A6401C"/>
    <w:rsid w:val="00A81AB7"/>
    <w:rsid w:val="00AE7F3B"/>
    <w:rsid w:val="00B2541B"/>
    <w:rsid w:val="00B34260"/>
    <w:rsid w:val="00B37282"/>
    <w:rsid w:val="00B41C02"/>
    <w:rsid w:val="00B44099"/>
    <w:rsid w:val="00B50E38"/>
    <w:rsid w:val="00B554B8"/>
    <w:rsid w:val="00B64EE0"/>
    <w:rsid w:val="00BA7974"/>
    <w:rsid w:val="00BB0E32"/>
    <w:rsid w:val="00BB6D9D"/>
    <w:rsid w:val="00BC77A5"/>
    <w:rsid w:val="00BD3FC1"/>
    <w:rsid w:val="00C17ED7"/>
    <w:rsid w:val="00C41F15"/>
    <w:rsid w:val="00C70171"/>
    <w:rsid w:val="00C70A68"/>
    <w:rsid w:val="00C82E98"/>
    <w:rsid w:val="00CC7C21"/>
    <w:rsid w:val="00CE0886"/>
    <w:rsid w:val="00CF2516"/>
    <w:rsid w:val="00CF6D63"/>
    <w:rsid w:val="00D11A4F"/>
    <w:rsid w:val="00D23B28"/>
    <w:rsid w:val="00D46C8D"/>
    <w:rsid w:val="00DE5444"/>
    <w:rsid w:val="00DF072F"/>
    <w:rsid w:val="00E32014"/>
    <w:rsid w:val="00EB58BA"/>
    <w:rsid w:val="00F04A6E"/>
    <w:rsid w:val="00F04DEF"/>
    <w:rsid w:val="00F31070"/>
    <w:rsid w:val="00F53F10"/>
    <w:rsid w:val="00F636F8"/>
    <w:rsid w:val="00F705AF"/>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3</Pages>
  <Words>442</Words>
  <Characters>2437</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2022-01-30T17:01:00Z</dcterms:modified>
</cp:coreProperties>
</file>