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22E408" w14:textId="11E1EC10" w:rsidR="00826F39" w:rsidRPr="00826F39" w:rsidRDefault="00826F39">
      <w:pPr>
        <w:rPr>
          <w:sz w:val="48"/>
          <w:szCs w:val="48"/>
          <w:u w:val="single"/>
        </w:rPr>
      </w:pPr>
      <w:r w:rsidRPr="00826F39">
        <w:rPr>
          <w:sz w:val="48"/>
          <w:szCs w:val="48"/>
        </w:rPr>
        <w:t xml:space="preserve">                         </w:t>
      </w:r>
      <w:r w:rsidR="00D569E8" w:rsidRPr="00826F39">
        <w:rPr>
          <w:sz w:val="48"/>
          <w:szCs w:val="48"/>
          <w:u w:val="single"/>
        </w:rPr>
        <w:t xml:space="preserve">Etherum     </w:t>
      </w:r>
    </w:p>
    <w:p w14:paraId="6274D1D6" w14:textId="5FF13247" w:rsidR="00AB106F" w:rsidRPr="00C100D5" w:rsidRDefault="00C100D5">
      <w:pPr>
        <w:rPr>
          <w:sz w:val="32"/>
          <w:szCs w:val="32"/>
        </w:rPr>
      </w:pPr>
      <w:r w:rsidRPr="00C100D5">
        <w:rPr>
          <w:sz w:val="32"/>
          <w:szCs w:val="32"/>
        </w:rPr>
        <w:t xml:space="preserve">                              </w:t>
      </w:r>
      <w:r>
        <w:rPr>
          <w:sz w:val="32"/>
          <w:szCs w:val="32"/>
        </w:rPr>
        <w:t>(</w:t>
      </w:r>
      <w:r w:rsidRPr="00C100D5">
        <w:rPr>
          <w:sz w:val="32"/>
          <w:szCs w:val="32"/>
        </w:rPr>
        <w:t>Le 06 février 2022 à 16h0</w:t>
      </w:r>
      <w:r>
        <w:rPr>
          <w:sz w:val="32"/>
          <w:szCs w:val="32"/>
        </w:rPr>
        <w:t>0)</w:t>
      </w:r>
    </w:p>
    <w:p w14:paraId="12C22648" w14:textId="7CCC902F" w:rsidR="00AB106F" w:rsidRDefault="000B7C59">
      <w:pPr>
        <w:rPr>
          <w:sz w:val="32"/>
          <w:szCs w:val="32"/>
          <w:u w:val="single"/>
        </w:rPr>
      </w:pPr>
      <w:r>
        <w:rPr>
          <w:sz w:val="32"/>
          <w:szCs w:val="32"/>
          <w:u w:val="single"/>
        </w:rPr>
        <w:t>M</w:t>
      </w:r>
      <w:r w:rsidR="00AB106F">
        <w:rPr>
          <w:sz w:val="32"/>
          <w:szCs w:val="32"/>
          <w:u w:val="single"/>
        </w:rPr>
        <w:t>ensuel</w:t>
      </w:r>
    </w:p>
    <w:p w14:paraId="75BD5E03" w14:textId="77777777" w:rsidR="00C100D5" w:rsidRDefault="00C100D5">
      <w:pPr>
        <w:rPr>
          <w:i/>
          <w:iCs/>
          <w:color w:val="FF0000"/>
          <w:sz w:val="32"/>
          <w:szCs w:val="32"/>
        </w:rPr>
      </w:pPr>
    </w:p>
    <w:p w14:paraId="5AAADC6D" w14:textId="22641D1B" w:rsidR="000B7C59" w:rsidRPr="000B7C59" w:rsidRDefault="000B7C59">
      <w:pPr>
        <w:rPr>
          <w:i/>
          <w:iCs/>
          <w:color w:val="FF0000"/>
          <w:sz w:val="32"/>
          <w:szCs w:val="32"/>
        </w:rPr>
      </w:pPr>
      <w:r>
        <w:rPr>
          <w:i/>
          <w:iCs/>
          <w:color w:val="FF0000"/>
          <w:sz w:val="32"/>
          <w:szCs w:val="32"/>
        </w:rPr>
        <w:t>(</w:t>
      </w:r>
      <w:r w:rsidRPr="000B7C59">
        <w:rPr>
          <w:i/>
          <w:iCs/>
          <w:color w:val="FF0000"/>
          <w:sz w:val="32"/>
          <w:szCs w:val="32"/>
        </w:rPr>
        <w:t>Ne pas tenir compte de la dernière chandelle qui est en cours de formation</w:t>
      </w:r>
      <w:r>
        <w:rPr>
          <w:i/>
          <w:iCs/>
          <w:color w:val="FF0000"/>
          <w:sz w:val="32"/>
          <w:szCs w:val="32"/>
        </w:rPr>
        <w:t>)</w:t>
      </w:r>
      <w:r w:rsidRPr="000B7C59">
        <w:rPr>
          <w:i/>
          <w:iCs/>
          <w:color w:val="FF0000"/>
          <w:sz w:val="32"/>
          <w:szCs w:val="32"/>
        </w:rPr>
        <w:t xml:space="preserve"> </w:t>
      </w:r>
    </w:p>
    <w:p w14:paraId="5B62C462" w14:textId="0FBFCBD5" w:rsidR="00AB106F" w:rsidRDefault="000B7C59">
      <w:pPr>
        <w:rPr>
          <w:sz w:val="32"/>
          <w:szCs w:val="32"/>
          <w:u w:val="single"/>
        </w:rPr>
      </w:pPr>
      <w:r>
        <w:rPr>
          <w:noProof/>
        </w:rPr>
        <w:drawing>
          <wp:inline distT="0" distB="0" distL="0" distR="0" wp14:anchorId="3FE36E22" wp14:editId="56C78968">
            <wp:extent cx="5760720" cy="2541918"/>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2541918"/>
                    </a:xfrm>
                    <a:prstGeom prst="rect">
                      <a:avLst/>
                    </a:prstGeom>
                    <a:noFill/>
                    <a:ln>
                      <a:noFill/>
                    </a:ln>
                  </pic:spPr>
                </pic:pic>
              </a:graphicData>
            </a:graphic>
          </wp:inline>
        </w:drawing>
      </w:r>
    </w:p>
    <w:p w14:paraId="632D5E7A" w14:textId="0A137A2B" w:rsidR="000B7C59" w:rsidRDefault="000B7C59" w:rsidP="000B7C59">
      <w:pPr>
        <w:jc w:val="both"/>
        <w:rPr>
          <w:rFonts w:ascii="Tahoma" w:hAnsi="Tahoma" w:cs="Tahoma"/>
        </w:rPr>
      </w:pPr>
      <w:r>
        <w:rPr>
          <w:rFonts w:ascii="Tahoma" w:hAnsi="Tahoma" w:cs="Tahoma"/>
        </w:rPr>
        <w:t>L</w:t>
      </w:r>
      <w:r>
        <w:rPr>
          <w:rFonts w:ascii="Tahoma" w:hAnsi="Tahoma" w:cs="Tahoma"/>
        </w:rPr>
        <w:t>’</w:t>
      </w:r>
      <w:r>
        <w:rPr>
          <w:rFonts w:ascii="Tahoma" w:hAnsi="Tahoma" w:cs="Tahoma"/>
        </w:rPr>
        <w:t>a</w:t>
      </w:r>
      <w:r>
        <w:rPr>
          <w:rFonts w:ascii="Tahoma" w:hAnsi="Tahoma" w:cs="Tahoma"/>
        </w:rPr>
        <w:t xml:space="preserve">valement baissier </w:t>
      </w:r>
      <w:r w:rsidR="003F7C96">
        <w:rPr>
          <w:rFonts w:ascii="Tahoma" w:hAnsi="Tahoma" w:cs="Tahoma"/>
        </w:rPr>
        <w:t xml:space="preserve">composé des chandelles du </w:t>
      </w:r>
      <w:r>
        <w:rPr>
          <w:rFonts w:ascii="Tahoma" w:hAnsi="Tahoma" w:cs="Tahoma"/>
        </w:rPr>
        <w:t xml:space="preserve">mois de </w:t>
      </w:r>
      <w:r w:rsidR="003F7C96">
        <w:rPr>
          <w:rFonts w:ascii="Tahoma" w:hAnsi="Tahoma" w:cs="Tahoma"/>
        </w:rPr>
        <w:t xml:space="preserve">novembre et de </w:t>
      </w:r>
      <w:r>
        <w:rPr>
          <w:rFonts w:ascii="Tahoma" w:hAnsi="Tahoma" w:cs="Tahoma"/>
        </w:rPr>
        <w:t>décembre se class</w:t>
      </w:r>
      <w:r w:rsidR="003F7C96">
        <w:rPr>
          <w:rFonts w:ascii="Tahoma" w:hAnsi="Tahoma" w:cs="Tahoma"/>
        </w:rPr>
        <w:t>e</w:t>
      </w:r>
      <w:r>
        <w:rPr>
          <w:rFonts w:ascii="Tahoma" w:hAnsi="Tahoma" w:cs="Tahoma"/>
        </w:rPr>
        <w:t xml:space="preserve"> dans les figures de retournement</w:t>
      </w:r>
      <w:r w:rsidR="003F7C96">
        <w:rPr>
          <w:rFonts w:ascii="Tahoma" w:hAnsi="Tahoma" w:cs="Tahoma"/>
        </w:rPr>
        <w:t xml:space="preserve"> de tendance. Sur un sommet, il montre que le marché est allé trop loin et que les acheteurs ont dans un premier temps réalisé</w:t>
      </w:r>
      <w:r w:rsidR="008B59E4">
        <w:rPr>
          <w:rFonts w:ascii="Tahoma" w:hAnsi="Tahoma" w:cs="Tahoma"/>
        </w:rPr>
        <w:t xml:space="preserve"> leurs gains avant que ces prises de profit ne se transforme</w:t>
      </w:r>
      <w:r w:rsidR="00844BA4">
        <w:rPr>
          <w:rFonts w:ascii="Tahoma" w:hAnsi="Tahoma" w:cs="Tahoma"/>
        </w:rPr>
        <w:t>nt</w:t>
      </w:r>
      <w:r w:rsidR="008B59E4">
        <w:rPr>
          <w:rFonts w:ascii="Tahoma" w:hAnsi="Tahoma" w:cs="Tahoma"/>
        </w:rPr>
        <w:t xml:space="preserve"> en courant vendeur. La baisse du mois de janvier confirme le basculement du rapport de force à l’avantage des baissiers.</w:t>
      </w:r>
    </w:p>
    <w:p w14:paraId="5F739515" w14:textId="652CA424" w:rsidR="008B59E4" w:rsidRDefault="008B59E4" w:rsidP="000B7C59">
      <w:pPr>
        <w:jc w:val="both"/>
        <w:rPr>
          <w:rFonts w:ascii="Tahoma" w:hAnsi="Tahoma" w:cs="Tahoma"/>
        </w:rPr>
      </w:pPr>
      <w:r>
        <w:rPr>
          <w:rFonts w:ascii="Tahoma" w:hAnsi="Tahoma" w:cs="Tahoma"/>
        </w:rPr>
        <w:t>La baisse des prix a permis de sortir le marché de son état de surachat en ramenant les cours dans un premier temps sur la TS et dans un second temps sur la KS.</w:t>
      </w:r>
    </w:p>
    <w:p w14:paraId="0DEA0B85" w14:textId="683ECD71" w:rsidR="00796AD3" w:rsidRDefault="008B59E4" w:rsidP="000B7C59">
      <w:pPr>
        <w:jc w:val="both"/>
        <w:rPr>
          <w:rFonts w:ascii="Tahoma" w:hAnsi="Tahoma" w:cs="Tahoma"/>
        </w:rPr>
      </w:pPr>
      <w:r>
        <w:rPr>
          <w:rFonts w:ascii="Tahoma" w:hAnsi="Tahoma" w:cs="Tahoma"/>
        </w:rPr>
        <w:t>Après un plus bas mensuel à 190</w:t>
      </w:r>
      <w:r w:rsidR="00796AD3">
        <w:rPr>
          <w:rFonts w:ascii="Tahoma" w:hAnsi="Tahoma" w:cs="Tahoma"/>
        </w:rPr>
        <w:t>6</w:t>
      </w:r>
      <w:r>
        <w:rPr>
          <w:rFonts w:ascii="Tahoma" w:hAnsi="Tahoma" w:cs="Tahoma"/>
        </w:rPr>
        <w:t xml:space="preserve">, </w:t>
      </w:r>
      <w:r w:rsidR="00796AD3">
        <w:rPr>
          <w:rFonts w:ascii="Tahoma" w:hAnsi="Tahoma" w:cs="Tahoma"/>
        </w:rPr>
        <w:t xml:space="preserve">la cryptomonnaie a rebondi pour s’établir </w:t>
      </w:r>
      <w:r w:rsidR="00235105">
        <w:rPr>
          <w:rFonts w:ascii="Tahoma" w:hAnsi="Tahoma" w:cs="Tahoma"/>
        </w:rPr>
        <w:t>au-dessus</w:t>
      </w:r>
      <w:r w:rsidR="00796AD3">
        <w:rPr>
          <w:rFonts w:ascii="Tahoma" w:hAnsi="Tahoma" w:cs="Tahoma"/>
        </w:rPr>
        <w:t xml:space="preserve"> de son plat de KS de 2151.</w:t>
      </w:r>
    </w:p>
    <w:p w14:paraId="7CA1F215" w14:textId="253D6E6F" w:rsidR="008B59E4" w:rsidRDefault="00796AD3" w:rsidP="000B7C59">
      <w:pPr>
        <w:jc w:val="both"/>
        <w:rPr>
          <w:rFonts w:ascii="Tahoma" w:hAnsi="Tahoma" w:cs="Tahoma"/>
        </w:rPr>
      </w:pPr>
      <w:r>
        <w:rPr>
          <w:rFonts w:ascii="Tahoma" w:hAnsi="Tahoma" w:cs="Tahoma"/>
        </w:rPr>
        <w:t xml:space="preserve">Cette action des prix est positive parce qu’elle montre l’importance du plat de KS dans l’analyse et en renforce son impact pour les </w:t>
      </w:r>
      <w:r w:rsidR="00844BA4">
        <w:rPr>
          <w:rFonts w:ascii="Tahoma" w:hAnsi="Tahoma" w:cs="Tahoma"/>
        </w:rPr>
        <w:t>mois à venir</w:t>
      </w:r>
      <w:r>
        <w:rPr>
          <w:rFonts w:ascii="Tahoma" w:hAnsi="Tahoma" w:cs="Tahoma"/>
        </w:rPr>
        <w:t>.</w:t>
      </w:r>
      <w:r w:rsidR="00020558">
        <w:rPr>
          <w:rFonts w:ascii="Tahoma" w:hAnsi="Tahoma" w:cs="Tahoma"/>
        </w:rPr>
        <w:t xml:space="preserve"> En effet comme on le sait, les plats de KS sont </w:t>
      </w:r>
      <w:r w:rsidR="00235105">
        <w:rPr>
          <w:rFonts w:ascii="Tahoma" w:hAnsi="Tahoma" w:cs="Tahoma"/>
        </w:rPr>
        <w:t>des forces</w:t>
      </w:r>
      <w:r w:rsidR="00020558">
        <w:rPr>
          <w:rFonts w:ascii="Tahoma" w:hAnsi="Tahoma" w:cs="Tahoma"/>
        </w:rPr>
        <w:t xml:space="preserve"> de rappel </w:t>
      </w:r>
      <w:r w:rsidR="00844BA4">
        <w:rPr>
          <w:rFonts w:ascii="Tahoma" w:hAnsi="Tahoma" w:cs="Tahoma"/>
        </w:rPr>
        <w:t>mais aussi</w:t>
      </w:r>
      <w:r w:rsidR="00020558">
        <w:rPr>
          <w:rFonts w:ascii="Tahoma" w:hAnsi="Tahoma" w:cs="Tahoma"/>
        </w:rPr>
        <w:t xml:space="preserve"> de</w:t>
      </w:r>
      <w:r w:rsidR="00844BA4">
        <w:rPr>
          <w:rFonts w:ascii="Tahoma" w:hAnsi="Tahoma" w:cs="Tahoma"/>
        </w:rPr>
        <w:t>s</w:t>
      </w:r>
      <w:r w:rsidR="00020558">
        <w:rPr>
          <w:rFonts w:ascii="Tahoma" w:hAnsi="Tahoma" w:cs="Tahoma"/>
        </w:rPr>
        <w:t xml:space="preserve"> niveaux difficiles à invalider. Sur le long terme, la tendance est haussière</w:t>
      </w:r>
      <w:r w:rsidR="00844BA4">
        <w:rPr>
          <w:rFonts w:ascii="Tahoma" w:hAnsi="Tahoma" w:cs="Tahoma"/>
        </w:rPr>
        <w:t>.</w:t>
      </w:r>
      <w:r w:rsidR="00020558">
        <w:rPr>
          <w:rFonts w:ascii="Tahoma" w:hAnsi="Tahoma" w:cs="Tahoma"/>
        </w:rPr>
        <w:t xml:space="preserve"> </w:t>
      </w:r>
      <w:r w:rsidR="00844BA4">
        <w:rPr>
          <w:rFonts w:ascii="Tahoma" w:hAnsi="Tahoma" w:cs="Tahoma"/>
        </w:rPr>
        <w:t>Le</w:t>
      </w:r>
      <w:r w:rsidR="00020558">
        <w:rPr>
          <w:rFonts w:ascii="Tahoma" w:hAnsi="Tahoma" w:cs="Tahoma"/>
        </w:rPr>
        <w:t xml:space="preserve"> plat de KS devient dans ce contexte un support difficile à passer.</w:t>
      </w:r>
      <w:r>
        <w:rPr>
          <w:rFonts w:ascii="Tahoma" w:hAnsi="Tahoma" w:cs="Tahoma"/>
        </w:rPr>
        <w:t xml:space="preserve">                </w:t>
      </w:r>
    </w:p>
    <w:p w14:paraId="4BFB6F2A" w14:textId="07E46E5C" w:rsidR="000B7C59" w:rsidRDefault="000B7C59">
      <w:pPr>
        <w:rPr>
          <w:sz w:val="32"/>
          <w:szCs w:val="32"/>
          <w:u w:val="single"/>
        </w:rPr>
      </w:pPr>
    </w:p>
    <w:p w14:paraId="616A7991" w14:textId="77777777" w:rsidR="000B7C59" w:rsidRDefault="000B7C59">
      <w:pPr>
        <w:rPr>
          <w:sz w:val="32"/>
          <w:szCs w:val="32"/>
          <w:u w:val="single"/>
        </w:rPr>
      </w:pPr>
    </w:p>
    <w:p w14:paraId="31B1B352" w14:textId="3D4356B9" w:rsidR="0005563F" w:rsidRDefault="00264400">
      <w:pPr>
        <w:rPr>
          <w:sz w:val="32"/>
          <w:szCs w:val="32"/>
          <w:u w:val="single"/>
        </w:rPr>
      </w:pPr>
      <w:r w:rsidRPr="00D569E8">
        <w:rPr>
          <w:sz w:val="32"/>
          <w:szCs w:val="32"/>
          <w:u w:val="single"/>
        </w:rPr>
        <w:t>hebdomadaire</w:t>
      </w:r>
      <w:r>
        <w:rPr>
          <w:sz w:val="32"/>
          <w:szCs w:val="32"/>
          <w:u w:val="single"/>
        </w:rPr>
        <w:t xml:space="preserve"> </w:t>
      </w:r>
    </w:p>
    <w:p w14:paraId="793D23D1" w14:textId="075911EC" w:rsidR="00D569E8" w:rsidRDefault="00810566">
      <w:pPr>
        <w:rPr>
          <w:sz w:val="32"/>
          <w:szCs w:val="32"/>
          <w:u w:val="single"/>
        </w:rPr>
      </w:pPr>
      <w:r>
        <w:rPr>
          <w:noProof/>
        </w:rPr>
        <w:lastRenderedPageBreak/>
        <w:drawing>
          <wp:inline distT="0" distB="0" distL="0" distR="0" wp14:anchorId="7F113571" wp14:editId="25F3CE81">
            <wp:extent cx="5760720" cy="2541918"/>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2541918"/>
                    </a:xfrm>
                    <a:prstGeom prst="rect">
                      <a:avLst/>
                    </a:prstGeom>
                    <a:noFill/>
                    <a:ln>
                      <a:noFill/>
                    </a:ln>
                  </pic:spPr>
                </pic:pic>
              </a:graphicData>
            </a:graphic>
          </wp:inline>
        </w:drawing>
      </w:r>
    </w:p>
    <w:p w14:paraId="7E3AB3CD" w14:textId="25875B50" w:rsidR="00D569E8" w:rsidRDefault="00D569E8">
      <w:pPr>
        <w:rPr>
          <w:sz w:val="32"/>
          <w:szCs w:val="32"/>
          <w:u w:val="single"/>
        </w:rPr>
      </w:pPr>
    </w:p>
    <w:p w14:paraId="117559AA" w14:textId="421DCE1B" w:rsidR="00572015" w:rsidRDefault="006E6645" w:rsidP="00826F39">
      <w:pPr>
        <w:jc w:val="both"/>
        <w:rPr>
          <w:rFonts w:ascii="Tahoma" w:hAnsi="Tahoma" w:cs="Tahoma"/>
        </w:rPr>
      </w:pPr>
      <w:bookmarkStart w:id="0" w:name="_Hlk95055635"/>
      <w:r>
        <w:rPr>
          <w:rFonts w:ascii="Tahoma" w:hAnsi="Tahoma" w:cs="Tahoma"/>
        </w:rPr>
        <w:t xml:space="preserve">Comme je l’ai </w:t>
      </w:r>
      <w:r w:rsidR="00235105">
        <w:rPr>
          <w:rFonts w:ascii="Tahoma" w:hAnsi="Tahoma" w:cs="Tahoma"/>
        </w:rPr>
        <w:t>suggéré</w:t>
      </w:r>
      <w:r>
        <w:rPr>
          <w:rFonts w:ascii="Tahoma" w:hAnsi="Tahoma" w:cs="Tahoma"/>
        </w:rPr>
        <w:t xml:space="preserve"> la semaine dernière, il arrive parfois que les pénétrantes haussières mettent plusieurs séances pour </w:t>
      </w:r>
      <w:r w:rsidR="00482218">
        <w:rPr>
          <w:rFonts w:ascii="Tahoma" w:hAnsi="Tahoma" w:cs="Tahoma"/>
        </w:rPr>
        <w:t>s</w:t>
      </w:r>
      <w:r>
        <w:rPr>
          <w:rFonts w:ascii="Tahoma" w:hAnsi="Tahoma" w:cs="Tahoma"/>
        </w:rPr>
        <w:t xml:space="preserve">e concrétiser. Cela </w:t>
      </w:r>
      <w:r w:rsidR="00482218">
        <w:rPr>
          <w:rFonts w:ascii="Tahoma" w:hAnsi="Tahoma" w:cs="Tahoma"/>
        </w:rPr>
        <w:t xml:space="preserve">montre une certaine hésitation dans l’inversion du mouvement </w:t>
      </w:r>
      <w:r w:rsidR="005D0D73">
        <w:rPr>
          <w:rFonts w:ascii="Tahoma" w:hAnsi="Tahoma" w:cs="Tahoma"/>
        </w:rPr>
        <w:t xml:space="preserve">mais cela ne lui opte pas </w:t>
      </w:r>
      <w:r w:rsidR="00482218">
        <w:rPr>
          <w:rFonts w:ascii="Tahoma" w:hAnsi="Tahoma" w:cs="Tahoma"/>
        </w:rPr>
        <w:t xml:space="preserve">pour autant son caractère positif. </w:t>
      </w:r>
    </w:p>
    <w:p w14:paraId="1FAFAE16" w14:textId="5BE8D642" w:rsidR="00570CAC" w:rsidRDefault="001612AB" w:rsidP="00826F39">
      <w:pPr>
        <w:jc w:val="both"/>
        <w:rPr>
          <w:rFonts w:ascii="Tahoma" w:hAnsi="Tahoma" w:cs="Tahoma"/>
        </w:rPr>
      </w:pPr>
      <w:r>
        <w:rPr>
          <w:rFonts w:ascii="Tahoma" w:hAnsi="Tahoma" w:cs="Tahoma"/>
        </w:rPr>
        <w:t xml:space="preserve">Ainsi le dépassement de 2455 </w:t>
      </w:r>
      <w:r w:rsidR="00810566">
        <w:rPr>
          <w:rFonts w:ascii="Tahoma" w:hAnsi="Tahoma" w:cs="Tahoma"/>
        </w:rPr>
        <w:t>donne une alerte haussière qu’il faut replacer dans son contexte</w:t>
      </w:r>
      <w:r w:rsidR="00570CAC">
        <w:rPr>
          <w:rFonts w:ascii="Tahoma" w:hAnsi="Tahoma" w:cs="Tahoma"/>
        </w:rPr>
        <w:t xml:space="preserve"> mais seul le dépassement de 2919 permettra d’envisager un changement de comportement à l’avantage des acheteurs. </w:t>
      </w:r>
    </w:p>
    <w:p w14:paraId="24EB77C5" w14:textId="21FE281E" w:rsidR="00810566" w:rsidRDefault="00810566" w:rsidP="00826F39">
      <w:pPr>
        <w:jc w:val="both"/>
        <w:rPr>
          <w:rFonts w:ascii="Tahoma" w:hAnsi="Tahoma" w:cs="Tahoma"/>
        </w:rPr>
      </w:pPr>
      <w:r>
        <w:rPr>
          <w:rFonts w:ascii="Tahoma" w:hAnsi="Tahoma" w:cs="Tahoma"/>
        </w:rPr>
        <w:t xml:space="preserve">Outre le support long terme de 2151 matérialisé par un plat de KS, les prix ont trouvé un autre support sur le moyen terme, concrétisé lui par un plat de SSB sur 1942. Après un plus bas en semaine à 1906, le marché a poursuivi son mouvement de hausse et s’est positionné </w:t>
      </w:r>
      <w:r w:rsidR="00235105">
        <w:rPr>
          <w:rFonts w:ascii="Tahoma" w:hAnsi="Tahoma" w:cs="Tahoma"/>
        </w:rPr>
        <w:t>au-dessus</w:t>
      </w:r>
      <w:r>
        <w:rPr>
          <w:rFonts w:ascii="Tahoma" w:hAnsi="Tahoma" w:cs="Tahoma"/>
        </w:rPr>
        <w:t xml:space="preserve"> de son nuage.</w:t>
      </w:r>
      <w:r w:rsidR="00E65BBB">
        <w:rPr>
          <w:rFonts w:ascii="Tahoma" w:hAnsi="Tahoma" w:cs="Tahoma"/>
        </w:rPr>
        <w:t xml:space="preserve"> Il se dirige maintenant vers son plat de KS de 3063 qui devient l’objectif du rebond actuel</w:t>
      </w:r>
      <w:r w:rsidR="00075626">
        <w:rPr>
          <w:rFonts w:ascii="Tahoma" w:hAnsi="Tahoma" w:cs="Tahoma"/>
        </w:rPr>
        <w:t>. Mais pour envisager cette cible, i</w:t>
      </w:r>
      <w:r w:rsidR="00E65BBB">
        <w:rPr>
          <w:rFonts w:ascii="Tahoma" w:hAnsi="Tahoma" w:cs="Tahoma"/>
        </w:rPr>
        <w:t>l devra s’affranchir auparavant de son oblique baissière dont le point se situera pour la semaine</w:t>
      </w:r>
      <w:r w:rsidR="00696406" w:rsidRPr="00696406">
        <w:rPr>
          <w:rFonts w:ascii="Tahoma" w:hAnsi="Tahoma" w:cs="Tahoma"/>
        </w:rPr>
        <w:t xml:space="preserve"> </w:t>
      </w:r>
      <w:r w:rsidR="00696406">
        <w:rPr>
          <w:rFonts w:ascii="Tahoma" w:hAnsi="Tahoma" w:cs="Tahoma"/>
        </w:rPr>
        <w:t>sur 2750</w:t>
      </w:r>
      <w:r w:rsidR="00E65BBB">
        <w:rPr>
          <w:rFonts w:ascii="Tahoma" w:hAnsi="Tahoma" w:cs="Tahoma"/>
        </w:rPr>
        <w:t>.</w:t>
      </w:r>
    </w:p>
    <w:bookmarkEnd w:id="0"/>
    <w:p w14:paraId="711C3EDE" w14:textId="319D2609" w:rsidR="00572015" w:rsidRDefault="00572015" w:rsidP="00960940">
      <w:pPr>
        <w:jc w:val="both"/>
        <w:rPr>
          <w:rFonts w:ascii="Tahoma" w:hAnsi="Tahoma" w:cs="Tahoma"/>
        </w:rPr>
      </w:pPr>
    </w:p>
    <w:p w14:paraId="5D1B55FE" w14:textId="7CBEEA94" w:rsidR="00DA4851" w:rsidRDefault="00DA4851" w:rsidP="007F6E22">
      <w:pPr>
        <w:jc w:val="both"/>
        <w:rPr>
          <w:rFonts w:ascii="Tahoma" w:hAnsi="Tahoma" w:cs="Tahoma"/>
        </w:rPr>
      </w:pPr>
    </w:p>
    <w:p w14:paraId="433A32E4" w14:textId="2ABF29E0" w:rsidR="00DA4851" w:rsidRDefault="00DA4851" w:rsidP="007F6E22">
      <w:pPr>
        <w:jc w:val="both"/>
        <w:rPr>
          <w:rFonts w:ascii="Tahoma" w:hAnsi="Tahoma" w:cs="Tahoma"/>
        </w:rPr>
      </w:pPr>
    </w:p>
    <w:p w14:paraId="02B63013" w14:textId="225EF723" w:rsidR="00DA4851" w:rsidRDefault="00DA4851" w:rsidP="007F6E22">
      <w:pPr>
        <w:jc w:val="both"/>
        <w:rPr>
          <w:rFonts w:ascii="Tahoma" w:hAnsi="Tahoma" w:cs="Tahoma"/>
        </w:rPr>
      </w:pPr>
    </w:p>
    <w:p w14:paraId="387A5E74" w14:textId="77777777" w:rsidR="00DA4851" w:rsidRDefault="00DA4851" w:rsidP="007F6E22">
      <w:pPr>
        <w:jc w:val="both"/>
        <w:rPr>
          <w:rFonts w:ascii="Tahoma" w:hAnsi="Tahoma" w:cs="Tahoma"/>
        </w:rPr>
      </w:pPr>
    </w:p>
    <w:p w14:paraId="303BAFF7" w14:textId="7A301C72" w:rsidR="00DA4851" w:rsidRPr="00DA4851" w:rsidRDefault="00DA4851" w:rsidP="007F6E22">
      <w:pPr>
        <w:jc w:val="both"/>
        <w:rPr>
          <w:sz w:val="32"/>
          <w:szCs w:val="32"/>
          <w:u w:val="single"/>
        </w:rPr>
      </w:pPr>
      <w:r w:rsidRPr="00DA4851">
        <w:rPr>
          <w:sz w:val="32"/>
          <w:szCs w:val="32"/>
          <w:u w:val="single"/>
        </w:rPr>
        <w:t>JOUR</w:t>
      </w:r>
      <w:r w:rsidR="003D1D17">
        <w:rPr>
          <w:sz w:val="32"/>
          <w:szCs w:val="32"/>
          <w:u w:val="single"/>
        </w:rPr>
        <w:t xml:space="preserve"> </w:t>
      </w:r>
    </w:p>
    <w:p w14:paraId="592A8BBD" w14:textId="04C40E25" w:rsidR="00DA4851" w:rsidRDefault="00696406" w:rsidP="007F6E22">
      <w:pPr>
        <w:jc w:val="both"/>
        <w:rPr>
          <w:rFonts w:ascii="Tahoma" w:hAnsi="Tahoma" w:cs="Tahoma"/>
        </w:rPr>
      </w:pPr>
      <w:r>
        <w:rPr>
          <w:noProof/>
        </w:rPr>
        <w:lastRenderedPageBreak/>
        <w:drawing>
          <wp:inline distT="0" distB="0" distL="0" distR="0" wp14:anchorId="705F4B06" wp14:editId="0477B15F">
            <wp:extent cx="5760691" cy="345186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9818" cy="3457329"/>
                    </a:xfrm>
                    <a:prstGeom prst="rect">
                      <a:avLst/>
                    </a:prstGeom>
                    <a:noFill/>
                    <a:ln>
                      <a:noFill/>
                    </a:ln>
                  </pic:spPr>
                </pic:pic>
              </a:graphicData>
            </a:graphic>
          </wp:inline>
        </w:drawing>
      </w:r>
    </w:p>
    <w:p w14:paraId="63BB7B99" w14:textId="6991CD13" w:rsidR="00DA4851" w:rsidRDefault="00DA4851" w:rsidP="007F6E22">
      <w:pPr>
        <w:jc w:val="both"/>
        <w:rPr>
          <w:rFonts w:ascii="Tahoma" w:hAnsi="Tahoma" w:cs="Tahoma"/>
        </w:rPr>
      </w:pPr>
    </w:p>
    <w:p w14:paraId="31EEC55F" w14:textId="0F4FAEDA" w:rsidR="00342AFF" w:rsidRDefault="0061230D" w:rsidP="00826F39">
      <w:pPr>
        <w:jc w:val="both"/>
        <w:rPr>
          <w:rFonts w:ascii="Tahoma" w:hAnsi="Tahoma" w:cs="Tahoma"/>
        </w:rPr>
      </w:pPr>
      <w:r>
        <w:rPr>
          <w:rFonts w:ascii="Tahoma" w:hAnsi="Tahoma" w:cs="Tahoma"/>
        </w:rPr>
        <w:t xml:space="preserve">En </w:t>
      </w:r>
      <w:r w:rsidR="00235105">
        <w:rPr>
          <w:rFonts w:ascii="Tahoma" w:hAnsi="Tahoma" w:cs="Tahoma"/>
        </w:rPr>
        <w:t>général</w:t>
      </w:r>
      <w:r>
        <w:rPr>
          <w:rFonts w:ascii="Tahoma" w:hAnsi="Tahoma" w:cs="Tahoma"/>
        </w:rPr>
        <w:t>, je n’aime pas trop les marubozu</w:t>
      </w:r>
      <w:r w:rsidR="008B6E00">
        <w:rPr>
          <w:rFonts w:ascii="Tahoma" w:hAnsi="Tahoma" w:cs="Tahoma"/>
        </w:rPr>
        <w:t>s</w:t>
      </w:r>
      <w:r>
        <w:rPr>
          <w:rFonts w:ascii="Tahoma" w:hAnsi="Tahoma" w:cs="Tahoma"/>
        </w:rPr>
        <w:t xml:space="preserve"> qui se forme</w:t>
      </w:r>
      <w:r w:rsidR="00C728BD">
        <w:rPr>
          <w:rFonts w:ascii="Tahoma" w:hAnsi="Tahoma" w:cs="Tahoma"/>
        </w:rPr>
        <w:t>nt</w:t>
      </w:r>
      <w:r>
        <w:rPr>
          <w:rFonts w:ascii="Tahoma" w:hAnsi="Tahoma" w:cs="Tahoma"/>
        </w:rPr>
        <w:t xml:space="preserve"> au sein d’un mouvement. Ils sont plus </w:t>
      </w:r>
      <w:r w:rsidR="00920C04">
        <w:rPr>
          <w:rFonts w:ascii="Tahoma" w:hAnsi="Tahoma" w:cs="Tahoma"/>
        </w:rPr>
        <w:t>légitimes dans un creux de marché ou</w:t>
      </w:r>
      <w:r w:rsidR="00C728BD">
        <w:rPr>
          <w:rFonts w:ascii="Tahoma" w:hAnsi="Tahoma" w:cs="Tahoma"/>
        </w:rPr>
        <w:t xml:space="preserve"> sur</w:t>
      </w:r>
      <w:r w:rsidR="00920C04">
        <w:rPr>
          <w:rFonts w:ascii="Tahoma" w:hAnsi="Tahoma" w:cs="Tahoma"/>
        </w:rPr>
        <w:t xml:space="preserve"> un sommet.</w:t>
      </w:r>
      <w:r w:rsidR="00C07406">
        <w:rPr>
          <w:rFonts w:ascii="Tahoma" w:hAnsi="Tahoma" w:cs="Tahoma"/>
        </w:rPr>
        <w:t xml:space="preserve"> </w:t>
      </w:r>
      <w:r w:rsidR="00920C04">
        <w:rPr>
          <w:rFonts w:ascii="Tahoma" w:hAnsi="Tahoma" w:cs="Tahoma"/>
        </w:rPr>
        <w:t>Mais il</w:t>
      </w:r>
      <w:r w:rsidR="008B6E00">
        <w:rPr>
          <w:rFonts w:ascii="Tahoma" w:hAnsi="Tahoma" w:cs="Tahoma"/>
        </w:rPr>
        <w:t>s</w:t>
      </w:r>
      <w:r w:rsidR="00920C04">
        <w:rPr>
          <w:rFonts w:ascii="Tahoma" w:hAnsi="Tahoma" w:cs="Tahoma"/>
        </w:rPr>
        <w:t xml:space="preserve"> peu</w:t>
      </w:r>
      <w:r w:rsidR="008B6E00">
        <w:rPr>
          <w:rFonts w:ascii="Tahoma" w:hAnsi="Tahoma" w:cs="Tahoma"/>
        </w:rPr>
        <w:t>vent</w:t>
      </w:r>
      <w:r w:rsidR="00920C04">
        <w:rPr>
          <w:rFonts w:ascii="Tahoma" w:hAnsi="Tahoma" w:cs="Tahoma"/>
        </w:rPr>
        <w:t xml:space="preserve"> aussi représenter le cœur d’un mouvement</w:t>
      </w:r>
      <w:r w:rsidR="008B6E00">
        <w:rPr>
          <w:rFonts w:ascii="Tahoma" w:hAnsi="Tahoma" w:cs="Tahoma"/>
        </w:rPr>
        <w:t xml:space="preserve"> et</w:t>
      </w:r>
      <w:r w:rsidR="00920C04">
        <w:rPr>
          <w:rFonts w:ascii="Tahoma" w:hAnsi="Tahoma" w:cs="Tahoma"/>
        </w:rPr>
        <w:t xml:space="preserve"> </w:t>
      </w:r>
      <w:r w:rsidR="008B6E00">
        <w:rPr>
          <w:rFonts w:ascii="Tahoma" w:hAnsi="Tahoma" w:cs="Tahoma"/>
        </w:rPr>
        <w:t>c</w:t>
      </w:r>
      <w:r w:rsidR="00920C04">
        <w:rPr>
          <w:rFonts w:ascii="Tahoma" w:hAnsi="Tahoma" w:cs="Tahoma"/>
        </w:rPr>
        <w:t xml:space="preserve">’est </w:t>
      </w:r>
      <w:r w:rsidR="00235105">
        <w:rPr>
          <w:rFonts w:ascii="Tahoma" w:hAnsi="Tahoma" w:cs="Tahoma"/>
        </w:rPr>
        <w:t>peut-être</w:t>
      </w:r>
      <w:r w:rsidR="00920C04">
        <w:rPr>
          <w:rFonts w:ascii="Tahoma" w:hAnsi="Tahoma" w:cs="Tahoma"/>
        </w:rPr>
        <w:t xml:space="preserve"> le cas ici, parce que les indicateurs techniques qui font suite à son apparition, ne sont pas sur-achetés.</w:t>
      </w:r>
      <w:r w:rsidR="007A7250">
        <w:rPr>
          <w:rFonts w:ascii="Tahoma" w:hAnsi="Tahoma" w:cs="Tahoma"/>
        </w:rPr>
        <w:t xml:space="preserve"> Cela </w:t>
      </w:r>
      <w:r w:rsidR="00235105">
        <w:rPr>
          <w:rFonts w:ascii="Tahoma" w:hAnsi="Tahoma" w:cs="Tahoma"/>
        </w:rPr>
        <w:t>donnera</w:t>
      </w:r>
      <w:r w:rsidR="007A7250">
        <w:rPr>
          <w:rFonts w:ascii="Tahoma" w:hAnsi="Tahoma" w:cs="Tahoma"/>
        </w:rPr>
        <w:t xml:space="preserve"> dans ce cas, un</w:t>
      </w:r>
      <w:r w:rsidR="00E93A1F">
        <w:rPr>
          <w:rFonts w:ascii="Tahoma" w:hAnsi="Tahoma" w:cs="Tahoma"/>
        </w:rPr>
        <w:t>e</w:t>
      </w:r>
      <w:r w:rsidR="007A7250">
        <w:rPr>
          <w:rFonts w:ascii="Tahoma" w:hAnsi="Tahoma" w:cs="Tahoma"/>
        </w:rPr>
        <w:t xml:space="preserve"> indication </w:t>
      </w:r>
      <w:r w:rsidR="00C728BD">
        <w:rPr>
          <w:rFonts w:ascii="Tahoma" w:hAnsi="Tahoma" w:cs="Tahoma"/>
        </w:rPr>
        <w:t xml:space="preserve">positive </w:t>
      </w:r>
      <w:r w:rsidR="007A7250">
        <w:rPr>
          <w:rFonts w:ascii="Tahoma" w:hAnsi="Tahoma" w:cs="Tahoma"/>
        </w:rPr>
        <w:t>sur la poursuite de la progression des cours d</w:t>
      </w:r>
      <w:r w:rsidR="00C728BD">
        <w:rPr>
          <w:rFonts w:ascii="Tahoma" w:hAnsi="Tahoma" w:cs="Tahoma"/>
        </w:rPr>
        <w:t>’un peu plus de</w:t>
      </w:r>
      <w:r w:rsidR="007A7250">
        <w:rPr>
          <w:rFonts w:ascii="Tahoma" w:hAnsi="Tahoma" w:cs="Tahoma"/>
        </w:rPr>
        <w:t xml:space="preserve"> </w:t>
      </w:r>
      <w:r w:rsidR="00E93A1F">
        <w:rPr>
          <w:rFonts w:ascii="Tahoma" w:hAnsi="Tahoma" w:cs="Tahoma"/>
        </w:rPr>
        <w:t>5</w:t>
      </w:r>
      <w:r w:rsidR="007A7250">
        <w:rPr>
          <w:rFonts w:ascii="Tahoma" w:hAnsi="Tahoma" w:cs="Tahoma"/>
        </w:rPr>
        <w:t>00 points.</w:t>
      </w:r>
      <w:r w:rsidR="008B6E00">
        <w:rPr>
          <w:rFonts w:ascii="Tahoma" w:hAnsi="Tahoma" w:cs="Tahoma"/>
        </w:rPr>
        <w:t xml:space="preserve"> </w:t>
      </w:r>
    </w:p>
    <w:p w14:paraId="7B7C3150" w14:textId="7CEE30C7" w:rsidR="007B0878" w:rsidRDefault="007B0878" w:rsidP="00826F39">
      <w:pPr>
        <w:jc w:val="both"/>
        <w:rPr>
          <w:rFonts w:ascii="Tahoma" w:hAnsi="Tahoma" w:cs="Tahoma"/>
        </w:rPr>
      </w:pPr>
      <w:r>
        <w:rPr>
          <w:rFonts w:ascii="Tahoma" w:hAnsi="Tahoma" w:cs="Tahoma"/>
        </w:rPr>
        <w:t>Pour autant, le rebond des prix restera inscrit dans un environnement baissier de court terme, tant que les prix et la LS évolueront sous leur nuage respectif. Sans un dépassement rapide de la zone des 3000 points, la KS restera plate sur la semaine et ralentira la hausse des prix.</w:t>
      </w:r>
    </w:p>
    <w:p w14:paraId="58D24411" w14:textId="4EB37177" w:rsidR="007B0878" w:rsidRDefault="003E339E" w:rsidP="00826F39">
      <w:pPr>
        <w:jc w:val="both"/>
        <w:rPr>
          <w:rFonts w:ascii="Tahoma" w:hAnsi="Tahoma" w:cs="Tahoma"/>
        </w:rPr>
      </w:pPr>
      <w:r>
        <w:rPr>
          <w:rFonts w:ascii="Tahoma" w:hAnsi="Tahoma" w:cs="Tahoma"/>
        </w:rPr>
        <w:t>M</w:t>
      </w:r>
      <w:r w:rsidR="00C728BD">
        <w:rPr>
          <w:rFonts w:ascii="Tahoma" w:hAnsi="Tahoma" w:cs="Tahoma"/>
        </w:rPr>
        <w:t>atérialisée par un nuage</w:t>
      </w:r>
      <w:r>
        <w:rPr>
          <w:rFonts w:ascii="Tahoma" w:hAnsi="Tahoma" w:cs="Tahoma"/>
        </w:rPr>
        <w:t>,</w:t>
      </w:r>
      <w:r w:rsidR="00C728BD">
        <w:rPr>
          <w:rFonts w:ascii="Tahoma" w:hAnsi="Tahoma" w:cs="Tahoma"/>
        </w:rPr>
        <w:t xml:space="preserve"> </w:t>
      </w:r>
      <w:r>
        <w:rPr>
          <w:rFonts w:ascii="Tahoma" w:hAnsi="Tahoma" w:cs="Tahoma"/>
        </w:rPr>
        <w:t>l</w:t>
      </w:r>
      <w:r w:rsidR="007B0878">
        <w:rPr>
          <w:rFonts w:ascii="Tahoma" w:hAnsi="Tahoma" w:cs="Tahoma"/>
        </w:rPr>
        <w:t>a zone des 3000 sera d’autant plus importante sur cette unité de temps</w:t>
      </w:r>
      <w:r>
        <w:rPr>
          <w:rFonts w:ascii="Tahoma" w:hAnsi="Tahoma" w:cs="Tahoma"/>
        </w:rPr>
        <w:t xml:space="preserve">. Elle est renforcée </w:t>
      </w:r>
      <w:r w:rsidR="002467FB">
        <w:rPr>
          <w:rFonts w:ascii="Tahoma" w:hAnsi="Tahoma" w:cs="Tahoma"/>
        </w:rPr>
        <w:t xml:space="preserve">sur le moyen terme </w:t>
      </w:r>
      <w:r>
        <w:rPr>
          <w:rFonts w:ascii="Tahoma" w:hAnsi="Tahoma" w:cs="Tahoma"/>
        </w:rPr>
        <w:t xml:space="preserve">par </w:t>
      </w:r>
      <w:r w:rsidR="002467FB">
        <w:rPr>
          <w:rFonts w:ascii="Tahoma" w:hAnsi="Tahoma" w:cs="Tahoma"/>
        </w:rPr>
        <w:t>le plat de KS se situ</w:t>
      </w:r>
      <w:r>
        <w:rPr>
          <w:rFonts w:ascii="Tahoma" w:hAnsi="Tahoma" w:cs="Tahoma"/>
        </w:rPr>
        <w:t>é</w:t>
      </w:r>
      <w:r w:rsidR="002467FB">
        <w:rPr>
          <w:rFonts w:ascii="Tahoma" w:hAnsi="Tahoma" w:cs="Tahoma"/>
        </w:rPr>
        <w:t xml:space="preserve"> sur 3063.</w:t>
      </w:r>
    </w:p>
    <w:p w14:paraId="6C5EE48F" w14:textId="77777777" w:rsidR="00342AFF" w:rsidRDefault="00342AFF" w:rsidP="007F6E22">
      <w:pPr>
        <w:jc w:val="both"/>
        <w:rPr>
          <w:rFonts w:ascii="Tahoma" w:hAnsi="Tahoma" w:cs="Tahoma"/>
        </w:rPr>
      </w:pPr>
    </w:p>
    <w:p w14:paraId="1FA3AA99" w14:textId="6D2D2833" w:rsidR="008567DE" w:rsidRDefault="008567DE" w:rsidP="007F6E22">
      <w:pPr>
        <w:jc w:val="both"/>
        <w:rPr>
          <w:rFonts w:ascii="Tahoma" w:hAnsi="Tahoma" w:cs="Tahoma"/>
        </w:rPr>
      </w:pPr>
    </w:p>
    <w:p w14:paraId="786C2CCD" w14:textId="68FFB379" w:rsidR="00D45A59" w:rsidRDefault="00D45A59" w:rsidP="007F6E22">
      <w:pPr>
        <w:jc w:val="both"/>
        <w:rPr>
          <w:rFonts w:ascii="Tahoma" w:hAnsi="Tahoma" w:cs="Tahoma"/>
        </w:rPr>
      </w:pPr>
    </w:p>
    <w:p w14:paraId="349524AA" w14:textId="58AC6353" w:rsidR="00D45A59" w:rsidRDefault="00D45A59" w:rsidP="007F6E22">
      <w:pPr>
        <w:jc w:val="both"/>
        <w:rPr>
          <w:rFonts w:ascii="Tahoma" w:hAnsi="Tahoma" w:cs="Tahoma"/>
        </w:rPr>
      </w:pPr>
    </w:p>
    <w:p w14:paraId="686B51A0" w14:textId="7827453B" w:rsidR="00D45A59" w:rsidRDefault="00D45A59" w:rsidP="007F6E22">
      <w:pPr>
        <w:jc w:val="both"/>
        <w:rPr>
          <w:rFonts w:ascii="Tahoma" w:hAnsi="Tahoma" w:cs="Tahoma"/>
        </w:rPr>
      </w:pPr>
    </w:p>
    <w:p w14:paraId="2DFA174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993366"/>
          <w:sz w:val="24"/>
          <w:szCs w:val="24"/>
          <w:lang w:eastAsia="fr-FR"/>
        </w:rPr>
        <w:t>TS (mauve)</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9 dernières périodes</w:t>
      </w:r>
    </w:p>
    <w:p w14:paraId="6E5BBF0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50BCECB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AD0FC8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008000"/>
          <w:sz w:val="24"/>
          <w:szCs w:val="24"/>
          <w:lang w:eastAsia="fr-FR"/>
        </w:rPr>
        <w:t>KS (vert)</w:t>
      </w:r>
      <w:r w:rsidRPr="00D45A59">
        <w:rPr>
          <w:rFonts w:ascii="Arial" w:eastAsia="Calibri" w:hAnsi="Arial" w:cs="Arial"/>
          <w:b/>
          <w:i/>
          <w:sz w:val="24"/>
          <w:szCs w:val="24"/>
          <w:lang w:eastAsia="fr-FR"/>
        </w:rPr>
        <w:t xml:space="preserv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26 dernières périodes</w:t>
      </w:r>
    </w:p>
    <w:p w14:paraId="3E745953"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  </w:t>
      </w:r>
    </w:p>
    <w:p w14:paraId="1093AB48"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color w:val="FF6600"/>
          <w:sz w:val="24"/>
          <w:szCs w:val="24"/>
          <w:lang w:eastAsia="fr-FR"/>
        </w:rPr>
        <w:t>LS (orange)</w:t>
      </w:r>
      <w:r w:rsidRPr="00D45A59">
        <w:rPr>
          <w:rFonts w:ascii="Arial" w:eastAsia="Calibri" w:hAnsi="Arial" w:cs="Arial"/>
          <w:b/>
          <w:i/>
          <w:sz w:val="24"/>
          <w:szCs w:val="24"/>
          <w:lang w:eastAsia="fr-FR"/>
        </w:rPr>
        <w:t xml:space="preserve"> = clôture                                           décalée de 26 périodes en arrière</w:t>
      </w:r>
    </w:p>
    <w:p w14:paraId="0C1EB2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0BBBE60"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3A2192">
        <w:rPr>
          <w:rFonts w:ascii="Arial" w:eastAsia="Calibri" w:hAnsi="Arial" w:cs="Arial"/>
          <w:b/>
          <w:i/>
          <w:color w:val="1F4E79" w:themeColor="accent5" w:themeShade="80"/>
          <w:sz w:val="24"/>
          <w:szCs w:val="24"/>
          <w:lang w:eastAsia="fr-FR"/>
        </w:rPr>
        <w:t>SSA</w:t>
      </w:r>
      <w:r w:rsidRPr="00D45A59">
        <w:rPr>
          <w:rFonts w:ascii="Arial" w:eastAsia="Calibri" w:hAnsi="Arial" w:cs="Arial"/>
          <w:b/>
          <w:i/>
          <w:sz w:val="24"/>
          <w:szCs w:val="24"/>
          <w:lang w:eastAsia="fr-FR"/>
        </w:rPr>
        <w:t xml:space="preserve"> (bordure du nuage) =   </w:t>
      </w:r>
      <w:r w:rsidRPr="00D45A59">
        <w:rPr>
          <w:rFonts w:ascii="Arial" w:eastAsia="Calibri" w:hAnsi="Arial" w:cs="Arial"/>
          <w:b/>
          <w:i/>
          <w:sz w:val="24"/>
          <w:szCs w:val="24"/>
          <w:u w:val="single"/>
          <w:lang w:eastAsia="fr-FR"/>
        </w:rPr>
        <w:t>TS + KS</w:t>
      </w:r>
      <w:r w:rsidRPr="00D45A59">
        <w:rPr>
          <w:rFonts w:ascii="Arial" w:eastAsia="Calibri" w:hAnsi="Arial" w:cs="Arial"/>
          <w:b/>
          <w:i/>
          <w:sz w:val="24"/>
          <w:szCs w:val="24"/>
          <w:lang w:eastAsia="fr-FR"/>
        </w:rPr>
        <w:t xml:space="preserve">                   projetée 26 périodes en avant</w:t>
      </w:r>
    </w:p>
    <w:p w14:paraId="0D8327D1"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lastRenderedPageBreak/>
        <w:t xml:space="preserve">                                                 2</w:t>
      </w:r>
    </w:p>
    <w:p w14:paraId="7B9B4694"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EEF8AD0" w14:textId="77777777" w:rsidR="00D45A59" w:rsidRPr="00D45A59" w:rsidRDefault="00D45A59" w:rsidP="00D45A59">
      <w:pPr>
        <w:spacing w:after="0" w:line="240" w:lineRule="auto"/>
        <w:jc w:val="both"/>
        <w:rPr>
          <w:rFonts w:ascii="Arial" w:eastAsia="Calibri" w:hAnsi="Arial" w:cs="Arial"/>
          <w:b/>
          <w:i/>
          <w:sz w:val="24"/>
          <w:szCs w:val="24"/>
          <w:u w:val="single"/>
          <w:lang w:eastAsia="fr-FR"/>
        </w:rPr>
      </w:pPr>
      <w:r w:rsidRPr="003A2192">
        <w:rPr>
          <w:rFonts w:ascii="Arial" w:eastAsia="Calibri" w:hAnsi="Arial" w:cs="Arial"/>
          <w:b/>
          <w:i/>
          <w:color w:val="FF0000"/>
          <w:sz w:val="24"/>
          <w:szCs w:val="24"/>
          <w:lang w:eastAsia="fr-FR"/>
        </w:rPr>
        <w:t>SSB</w:t>
      </w:r>
      <w:r w:rsidRPr="00D45A59">
        <w:rPr>
          <w:rFonts w:ascii="Arial" w:eastAsia="Calibri" w:hAnsi="Arial" w:cs="Arial"/>
          <w:b/>
          <w:i/>
          <w:sz w:val="24"/>
          <w:szCs w:val="24"/>
          <w:lang w:eastAsia="fr-FR"/>
        </w:rPr>
        <w:t xml:space="preserve"> (bordure opposée du nuage) = </w:t>
      </w:r>
      <w:r w:rsidRPr="00D45A59">
        <w:rPr>
          <w:rFonts w:ascii="Arial" w:eastAsia="Calibri" w:hAnsi="Arial" w:cs="Arial"/>
          <w:b/>
          <w:i/>
          <w:sz w:val="24"/>
          <w:szCs w:val="24"/>
          <w:u w:val="single"/>
          <w:lang w:eastAsia="fr-FR"/>
        </w:rPr>
        <w:t>plus haut + plus bas</w:t>
      </w:r>
      <w:r w:rsidRPr="00D45A59">
        <w:rPr>
          <w:rFonts w:ascii="Arial" w:eastAsia="Calibri" w:hAnsi="Arial" w:cs="Arial"/>
          <w:b/>
          <w:i/>
          <w:sz w:val="24"/>
          <w:szCs w:val="24"/>
          <w:lang w:eastAsia="fr-FR"/>
        </w:rPr>
        <w:t xml:space="preserve">     sur les 52 dernières </w:t>
      </w:r>
    </w:p>
    <w:p w14:paraId="16AD0889"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                                                                        2</w:t>
      </w:r>
    </w:p>
    <w:p w14:paraId="072D216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9661CC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périodes, projetées 26 périodes en avant</w:t>
      </w:r>
    </w:p>
    <w:p w14:paraId="0D6B6513"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C114EC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F0765E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u w:val="single"/>
          <w:lang w:eastAsia="fr-FR"/>
        </w:rPr>
        <w:t>Unités de temps</w:t>
      </w:r>
      <w:r w:rsidRPr="00D45A59">
        <w:rPr>
          <w:rFonts w:ascii="Arial" w:eastAsia="Calibri" w:hAnsi="Arial" w:cs="Arial"/>
          <w:b/>
          <w:i/>
          <w:sz w:val="24"/>
          <w:szCs w:val="24"/>
          <w:lang w:eastAsia="fr-FR"/>
        </w:rPr>
        <w:t xml:space="preserve"> : </w:t>
      </w:r>
    </w:p>
    <w:p w14:paraId="09DD51D2"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A98A55B"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W: weekly</w:t>
      </w:r>
    </w:p>
    <w:p w14:paraId="1D0C5327"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7CDEB06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D: daily</w:t>
      </w:r>
    </w:p>
    <w:p w14:paraId="0621F97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606D38B4"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 xml:space="preserve">H4: base 4 heures  </w:t>
      </w:r>
    </w:p>
    <w:p w14:paraId="59253ABD"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044B4D57"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H1 : base horaire</w:t>
      </w:r>
    </w:p>
    <w:p w14:paraId="57E2AC90"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2E0305BA" w14:textId="77777777" w:rsidR="00D45A59" w:rsidRPr="00D45A59" w:rsidRDefault="00D45A59" w:rsidP="00D45A59">
      <w:pPr>
        <w:spacing w:after="0" w:line="240" w:lineRule="auto"/>
        <w:jc w:val="both"/>
        <w:rPr>
          <w:rFonts w:ascii="Arial" w:eastAsia="Calibri" w:hAnsi="Arial" w:cs="Arial"/>
          <w:b/>
          <w:i/>
          <w:sz w:val="24"/>
          <w:szCs w:val="24"/>
          <w:lang w:eastAsia="fr-FR"/>
        </w:rPr>
      </w:pPr>
      <w:r w:rsidRPr="00D45A59">
        <w:rPr>
          <w:rFonts w:ascii="Arial" w:eastAsia="Calibri" w:hAnsi="Arial" w:cs="Arial"/>
          <w:b/>
          <w:i/>
          <w:sz w:val="24"/>
          <w:szCs w:val="24"/>
          <w:lang w:eastAsia="fr-FR"/>
        </w:rPr>
        <w:t>30M : base 30 minutes</w:t>
      </w:r>
    </w:p>
    <w:p w14:paraId="44FF7C3F" w14:textId="77777777" w:rsidR="00D45A59" w:rsidRPr="00D45A59" w:rsidRDefault="00D45A59" w:rsidP="00D45A59">
      <w:pPr>
        <w:spacing w:after="0" w:line="240" w:lineRule="auto"/>
        <w:jc w:val="both"/>
        <w:rPr>
          <w:rFonts w:ascii="Arial" w:eastAsia="Calibri" w:hAnsi="Arial" w:cs="Arial"/>
          <w:b/>
          <w:i/>
          <w:sz w:val="24"/>
          <w:szCs w:val="24"/>
          <w:lang w:eastAsia="fr-FR"/>
        </w:rPr>
      </w:pPr>
    </w:p>
    <w:p w14:paraId="1597EE09" w14:textId="77777777" w:rsidR="00D45A59" w:rsidRPr="00D569E8" w:rsidRDefault="00D45A59" w:rsidP="007F6E22">
      <w:pPr>
        <w:jc w:val="both"/>
        <w:rPr>
          <w:rFonts w:ascii="Tahoma" w:hAnsi="Tahoma" w:cs="Tahoma"/>
        </w:rPr>
      </w:pPr>
    </w:p>
    <w:sectPr w:rsidR="00D45A59" w:rsidRPr="00D569E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69E8"/>
    <w:rsid w:val="00020558"/>
    <w:rsid w:val="00046E8B"/>
    <w:rsid w:val="0005563F"/>
    <w:rsid w:val="00075626"/>
    <w:rsid w:val="00092058"/>
    <w:rsid w:val="000B7C59"/>
    <w:rsid w:val="00110ADF"/>
    <w:rsid w:val="00113C92"/>
    <w:rsid w:val="00140A73"/>
    <w:rsid w:val="001612AB"/>
    <w:rsid w:val="002244B9"/>
    <w:rsid w:val="00235105"/>
    <w:rsid w:val="002467FB"/>
    <w:rsid w:val="00264400"/>
    <w:rsid w:val="002A5DC5"/>
    <w:rsid w:val="002C4CD0"/>
    <w:rsid w:val="002E7AF3"/>
    <w:rsid w:val="00306FDE"/>
    <w:rsid w:val="00342AFF"/>
    <w:rsid w:val="00394D2F"/>
    <w:rsid w:val="003A2192"/>
    <w:rsid w:val="003B2540"/>
    <w:rsid w:val="003D1D17"/>
    <w:rsid w:val="003E339E"/>
    <w:rsid w:val="003F7C96"/>
    <w:rsid w:val="004475E1"/>
    <w:rsid w:val="00447D4B"/>
    <w:rsid w:val="00482218"/>
    <w:rsid w:val="005440A4"/>
    <w:rsid w:val="00563CB1"/>
    <w:rsid w:val="00570CAC"/>
    <w:rsid w:val="00572015"/>
    <w:rsid w:val="005D0D73"/>
    <w:rsid w:val="0061230D"/>
    <w:rsid w:val="006539D9"/>
    <w:rsid w:val="00696406"/>
    <w:rsid w:val="006E6645"/>
    <w:rsid w:val="00760FE2"/>
    <w:rsid w:val="007923BF"/>
    <w:rsid w:val="00796AD3"/>
    <w:rsid w:val="007A7250"/>
    <w:rsid w:val="007B0878"/>
    <w:rsid w:val="007F6E22"/>
    <w:rsid w:val="00810566"/>
    <w:rsid w:val="0081635D"/>
    <w:rsid w:val="00826F39"/>
    <w:rsid w:val="00844BA4"/>
    <w:rsid w:val="008567DE"/>
    <w:rsid w:val="008B59E4"/>
    <w:rsid w:val="008B6E00"/>
    <w:rsid w:val="008F21BD"/>
    <w:rsid w:val="008F230F"/>
    <w:rsid w:val="008F7E7D"/>
    <w:rsid w:val="00920C04"/>
    <w:rsid w:val="0094194C"/>
    <w:rsid w:val="00960940"/>
    <w:rsid w:val="00967DAB"/>
    <w:rsid w:val="009B7066"/>
    <w:rsid w:val="00A04A9A"/>
    <w:rsid w:val="00A95C6D"/>
    <w:rsid w:val="00AB106F"/>
    <w:rsid w:val="00BB4354"/>
    <w:rsid w:val="00C07406"/>
    <w:rsid w:val="00C100D5"/>
    <w:rsid w:val="00C728BD"/>
    <w:rsid w:val="00D45A59"/>
    <w:rsid w:val="00D569E8"/>
    <w:rsid w:val="00DA4851"/>
    <w:rsid w:val="00DE3513"/>
    <w:rsid w:val="00E65BBB"/>
    <w:rsid w:val="00E93A1F"/>
    <w:rsid w:val="00F17ECE"/>
    <w:rsid w:val="00F94E2A"/>
    <w:rsid w:val="00FA6717"/>
    <w:rsid w:val="00FF2F6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BA1F0"/>
  <w15:chartTrackingRefBased/>
  <w15:docId w15:val="{1404FF0B-E1DD-4054-9133-ABC64BD41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C70A5-019E-481D-A4D9-EBB2C50D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375</TotalTime>
  <Pages>4</Pages>
  <Words>620</Words>
  <Characters>3413</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70</cp:revision>
  <dcterms:created xsi:type="dcterms:W3CDTF">2021-12-13T10:46:00Z</dcterms:created>
  <dcterms:modified xsi:type="dcterms:W3CDTF">2022-02-06T16:03:00Z</dcterms:modified>
</cp:coreProperties>
</file>