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7AE5DEDE" w14:textId="77777777" w:rsidR="007A2A06" w:rsidRPr="00041E45" w:rsidRDefault="007A2A06" w:rsidP="00B41C02">
      <w:pPr>
        <w:jc w:val="both"/>
        <w:rPr>
          <w:rFonts w:ascii="Tahoma" w:hAnsi="Tahoma" w:cs="Tahoma"/>
          <w:sz w:val="32"/>
          <w:szCs w:val="32"/>
          <w:u w:val="single"/>
        </w:rPr>
      </w:pPr>
      <w:bookmarkStart w:id="0" w:name="_Hlk95059585"/>
    </w:p>
    <w:bookmarkEnd w:id="0"/>
    <w:p w14:paraId="22B5EA68" w14:textId="77777777" w:rsidR="007A2A06" w:rsidRPr="00041E45" w:rsidRDefault="007A2A06" w:rsidP="007A2A06">
      <w:pPr>
        <w:jc w:val="both"/>
        <w:rPr>
          <w:rFonts w:ascii="Tahoma" w:hAnsi="Tahoma" w:cs="Tahoma"/>
          <w:sz w:val="32"/>
          <w:szCs w:val="32"/>
          <w:u w:val="single"/>
        </w:rPr>
      </w:pPr>
      <w:r w:rsidRPr="00041E45">
        <w:rPr>
          <w:rFonts w:ascii="Tahoma" w:hAnsi="Tahoma" w:cs="Tahoma"/>
          <w:sz w:val="32"/>
          <w:szCs w:val="32"/>
          <w:u w:val="single"/>
        </w:rPr>
        <w:t>Week</w:t>
      </w:r>
    </w:p>
    <w:p w14:paraId="2862B446" w14:textId="34EE4458" w:rsidR="00902D2F" w:rsidRDefault="00247CF0" w:rsidP="00B41C02">
      <w:pPr>
        <w:jc w:val="both"/>
        <w:rPr>
          <w:rFonts w:ascii="Tahoma" w:hAnsi="Tahoma" w:cs="Tahoma"/>
        </w:rPr>
      </w:pPr>
      <w:r>
        <w:rPr>
          <w:noProof/>
        </w:rPr>
        <w:drawing>
          <wp:inline distT="0" distB="0" distL="0" distR="0" wp14:anchorId="4E5AEDC3" wp14:editId="04C63B3E">
            <wp:extent cx="5760720" cy="4320540"/>
            <wp:effectExtent l="0" t="0" r="0" b="381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4255F702"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247CF0">
        <w:rPr>
          <w:rFonts w:ascii="Tahoma" w:hAnsi="Tahoma" w:cs="Tahoma"/>
        </w:rPr>
        <w:t>e contrat est sorti de sa dérive latérale après le meeting hawkish de la BCE et les bons chiffres de création d’emplois aux USA</w:t>
      </w:r>
    </w:p>
    <w:p w14:paraId="76F1DDAB" w14:textId="5AC20A78" w:rsidR="00247CF0" w:rsidRDefault="00247CF0" w:rsidP="00B41C02">
      <w:pPr>
        <w:jc w:val="both"/>
        <w:rPr>
          <w:rFonts w:ascii="Tahoma" w:hAnsi="Tahoma" w:cs="Tahoma"/>
        </w:rPr>
      </w:pPr>
      <w:r>
        <w:rPr>
          <w:rFonts w:ascii="Tahoma" w:hAnsi="Tahoma" w:cs="Tahoma"/>
        </w:rPr>
        <w:t xml:space="preserve">Dans une logique d’inversion des polarités, le biais restera favorable à la baisse tant que le support de </w:t>
      </w:r>
      <w:r w:rsidR="00F53F60">
        <w:rPr>
          <w:rFonts w:ascii="Tahoma" w:hAnsi="Tahoma" w:cs="Tahoma"/>
        </w:rPr>
        <w:t>169.05 servira de résistance.</w:t>
      </w:r>
    </w:p>
    <w:p w14:paraId="61188BA9" w14:textId="2BA587E9" w:rsidR="00BE62FA" w:rsidRDefault="0076003A" w:rsidP="00B41C02">
      <w:pPr>
        <w:jc w:val="both"/>
        <w:rPr>
          <w:rFonts w:ascii="Tahoma" w:hAnsi="Tahoma" w:cs="Tahoma"/>
        </w:rPr>
      </w:pPr>
      <w:r>
        <w:rPr>
          <w:rFonts w:ascii="Tahoma" w:hAnsi="Tahoma" w:cs="Tahoma"/>
        </w:rPr>
        <w:t>Si elle n’est pas remise en cause rapidement, l</w:t>
      </w:r>
      <w:r w:rsidR="00BE62FA">
        <w:rPr>
          <w:rFonts w:ascii="Tahoma" w:hAnsi="Tahoma" w:cs="Tahoma"/>
        </w:rPr>
        <w:t>a dernière longue bougie noire sans ombre haute devrait peser négativement sur les prix au cours des prochaines semaines</w:t>
      </w:r>
      <w:r>
        <w:rPr>
          <w:rFonts w:ascii="Tahoma" w:hAnsi="Tahoma" w:cs="Tahoma"/>
        </w:rPr>
        <w:t xml:space="preserve">. Une remise en question passera dans un premier temps par un retour des cours </w:t>
      </w:r>
      <w:r w:rsidR="00953CFA">
        <w:rPr>
          <w:rFonts w:ascii="Tahoma" w:hAnsi="Tahoma" w:cs="Tahoma"/>
        </w:rPr>
        <w:t>au-dessus</w:t>
      </w:r>
      <w:r>
        <w:rPr>
          <w:rFonts w:ascii="Tahoma" w:hAnsi="Tahoma" w:cs="Tahoma"/>
        </w:rPr>
        <w:t xml:space="preserve"> de 168.00.</w:t>
      </w:r>
    </w:p>
    <w:p w14:paraId="374D1F17" w14:textId="15943DDE" w:rsidR="00583BC8" w:rsidRDefault="00465E34" w:rsidP="00B41C02">
      <w:pPr>
        <w:jc w:val="both"/>
        <w:rPr>
          <w:rFonts w:ascii="Tahoma" w:hAnsi="Tahoma" w:cs="Tahoma"/>
        </w:rPr>
      </w:pPr>
      <w:r>
        <w:rPr>
          <w:rFonts w:ascii="Tahoma" w:hAnsi="Tahoma" w:cs="Tahoma"/>
        </w:rPr>
        <w:t xml:space="preserve">Après un plus bas en semaine à 165.72, il est </w:t>
      </w:r>
      <w:r w:rsidR="00953CFA">
        <w:rPr>
          <w:rFonts w:ascii="Tahoma" w:hAnsi="Tahoma" w:cs="Tahoma"/>
        </w:rPr>
        <w:t>intéressant</w:t>
      </w:r>
      <w:r>
        <w:rPr>
          <w:rFonts w:ascii="Tahoma" w:hAnsi="Tahoma" w:cs="Tahoma"/>
        </w:rPr>
        <w:t xml:space="preserve"> d’observer que le plat de SSB</w:t>
      </w:r>
      <w:r w:rsidR="006226A6">
        <w:rPr>
          <w:rFonts w:ascii="Tahoma" w:hAnsi="Tahoma" w:cs="Tahoma"/>
        </w:rPr>
        <w:t xml:space="preserve"> passée</w:t>
      </w:r>
      <w:r>
        <w:rPr>
          <w:rFonts w:ascii="Tahoma" w:hAnsi="Tahoma" w:cs="Tahoma"/>
        </w:rPr>
        <w:t xml:space="preserve"> de 165.64 a servi de support.</w:t>
      </w:r>
      <w:r w:rsidR="006226A6">
        <w:rPr>
          <w:rFonts w:ascii="Tahoma" w:hAnsi="Tahoma" w:cs="Tahoma"/>
        </w:rPr>
        <w:t xml:space="preserve"> Dans ce contexte, une poursuite de la baisse passera par une cassure et un maintien des cours sous </w:t>
      </w:r>
      <w:r w:rsidR="00953CFA">
        <w:rPr>
          <w:rFonts w:ascii="Tahoma" w:hAnsi="Tahoma" w:cs="Tahoma"/>
        </w:rPr>
        <w:t>le point de 165.64</w:t>
      </w:r>
      <w:r w:rsidR="006226A6">
        <w:rPr>
          <w:rFonts w:ascii="Tahoma" w:hAnsi="Tahoma" w:cs="Tahoma"/>
        </w:rPr>
        <w:t>.</w:t>
      </w:r>
    </w:p>
    <w:p w14:paraId="163E9813" w14:textId="77777777" w:rsidR="00953CFA" w:rsidRDefault="00953CFA"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10DC72C1" w:rsidR="00583BC8" w:rsidRDefault="007B76C2" w:rsidP="00B41C02">
      <w:pPr>
        <w:jc w:val="both"/>
        <w:rPr>
          <w:rFonts w:ascii="Tahoma" w:hAnsi="Tahoma" w:cs="Tahoma"/>
        </w:rPr>
      </w:pPr>
      <w:r>
        <w:rPr>
          <w:noProof/>
        </w:rPr>
        <w:lastRenderedPageBreak/>
        <w:drawing>
          <wp:inline distT="0" distB="0" distL="0" distR="0" wp14:anchorId="6F88DE61" wp14:editId="2537FCC9">
            <wp:extent cx="5760720" cy="4320540"/>
            <wp:effectExtent l="0" t="0" r="0" b="381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10BB9766" w14:textId="304C2B70" w:rsidR="00723F77" w:rsidRDefault="00AA522C" w:rsidP="007A2A06">
      <w:pPr>
        <w:jc w:val="both"/>
        <w:rPr>
          <w:rFonts w:ascii="Tahoma" w:hAnsi="Tahoma" w:cs="Tahoma"/>
        </w:rPr>
      </w:pPr>
      <w:r>
        <w:rPr>
          <w:rFonts w:ascii="Tahoma" w:hAnsi="Tahoma" w:cs="Tahoma"/>
        </w:rPr>
        <w:t>L</w:t>
      </w:r>
      <w:r w:rsidR="007B76C2">
        <w:rPr>
          <w:rFonts w:ascii="Tahoma" w:hAnsi="Tahoma" w:cs="Tahoma"/>
        </w:rPr>
        <w:t xml:space="preserve">es dernières bougies noires placent le marché dans un environnement survendu. Elles montrent le </w:t>
      </w:r>
      <w:r w:rsidR="00953CFA">
        <w:rPr>
          <w:rFonts w:ascii="Tahoma" w:hAnsi="Tahoma" w:cs="Tahoma"/>
        </w:rPr>
        <w:t>caractère</w:t>
      </w:r>
      <w:r w:rsidR="007B76C2">
        <w:rPr>
          <w:rFonts w:ascii="Tahoma" w:hAnsi="Tahoma" w:cs="Tahoma"/>
        </w:rPr>
        <w:t xml:space="preserve"> </w:t>
      </w:r>
      <w:r w:rsidR="00FF7895">
        <w:rPr>
          <w:rFonts w:ascii="Tahoma" w:hAnsi="Tahoma" w:cs="Tahoma"/>
        </w:rPr>
        <w:t>déroutant des investisseurs qui ont réagi dans la panique et l’empressement.</w:t>
      </w:r>
    </w:p>
    <w:p w14:paraId="5EA2FBC4" w14:textId="6A2129EF" w:rsidR="00FF7895" w:rsidRDefault="00FF7895" w:rsidP="007A2A06">
      <w:pPr>
        <w:jc w:val="both"/>
        <w:rPr>
          <w:rFonts w:ascii="Tahoma" w:hAnsi="Tahoma" w:cs="Tahoma"/>
        </w:rPr>
      </w:pPr>
      <w:r>
        <w:rPr>
          <w:rFonts w:ascii="Tahoma" w:hAnsi="Tahoma" w:cs="Tahoma"/>
        </w:rPr>
        <w:t xml:space="preserve">La baisse des prix de jeudi est la plus importante de l’année écoulée. Elle n’a pas été suivie d’un rebond, ce qui laisse présager une domination totale des </w:t>
      </w:r>
      <w:r w:rsidR="00063CCD">
        <w:rPr>
          <w:rFonts w:ascii="Tahoma" w:hAnsi="Tahoma" w:cs="Tahoma"/>
        </w:rPr>
        <w:t>baissiers</w:t>
      </w:r>
      <w:r>
        <w:rPr>
          <w:rFonts w:ascii="Tahoma" w:hAnsi="Tahoma" w:cs="Tahoma"/>
        </w:rPr>
        <w:t xml:space="preserve"> </w:t>
      </w:r>
      <w:r w:rsidR="00063CCD">
        <w:rPr>
          <w:rFonts w:ascii="Tahoma" w:hAnsi="Tahoma" w:cs="Tahoma"/>
        </w:rPr>
        <w:t>lors des</w:t>
      </w:r>
      <w:r>
        <w:rPr>
          <w:rFonts w:ascii="Tahoma" w:hAnsi="Tahoma" w:cs="Tahoma"/>
        </w:rPr>
        <w:t xml:space="preserve"> prochains échange</w:t>
      </w:r>
      <w:r w:rsidR="00063CCD">
        <w:rPr>
          <w:rFonts w:ascii="Tahoma" w:hAnsi="Tahoma" w:cs="Tahoma"/>
        </w:rPr>
        <w:t xml:space="preserve">s et un retour des vendeurs </w:t>
      </w:r>
      <w:r w:rsidR="00217B0F">
        <w:rPr>
          <w:rFonts w:ascii="Tahoma" w:hAnsi="Tahoma" w:cs="Tahoma"/>
        </w:rPr>
        <w:t>sur chaque</w:t>
      </w:r>
      <w:r w:rsidR="00063CCD">
        <w:rPr>
          <w:rFonts w:ascii="Tahoma" w:hAnsi="Tahoma" w:cs="Tahoma"/>
        </w:rPr>
        <w:t xml:space="preserve"> rebond des prix.</w:t>
      </w:r>
    </w:p>
    <w:p w14:paraId="01260563" w14:textId="58FF5991" w:rsidR="00E3727C" w:rsidRDefault="00166C28" w:rsidP="00041E45">
      <w:pPr>
        <w:jc w:val="both"/>
        <w:rPr>
          <w:rFonts w:ascii="Tahoma" w:hAnsi="Tahoma" w:cs="Tahoma"/>
        </w:rPr>
      </w:pPr>
      <w:r>
        <w:rPr>
          <w:rFonts w:ascii="Tahoma" w:hAnsi="Tahoma" w:cs="Tahoma"/>
        </w:rPr>
        <w:t>Sur le court terme, le tableau reste noir. Mais lorsque j’observe le très court terme, je constate que la baisse a commencé à se stabiliser.</w:t>
      </w:r>
    </w:p>
    <w:p w14:paraId="571BEA57" w14:textId="6C61CA30" w:rsidR="00166C28" w:rsidRDefault="00CC26C0" w:rsidP="00041E45">
      <w:pPr>
        <w:jc w:val="both"/>
        <w:rPr>
          <w:rFonts w:ascii="Tahoma" w:hAnsi="Tahoma" w:cs="Tahoma"/>
        </w:rPr>
      </w:pPr>
      <w:r>
        <w:rPr>
          <w:rFonts w:ascii="Tahoma" w:hAnsi="Tahoma" w:cs="Tahoma"/>
        </w:rPr>
        <w:t>Cette stabilisation peut s’expliquer par l’approche du support de moyen terme de 165.64. Quoi qu’il en soit, sur le court terme, les prix devront revenir au de 166.90 pour amener une partie des vendeurs à revoir leurs positions.</w:t>
      </w:r>
    </w:p>
    <w:p w14:paraId="60A7E64F" w14:textId="77777777" w:rsidR="00166C28" w:rsidRDefault="00166C28"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lastRenderedPageBreak/>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CD0FE5">
        <w:rPr>
          <w:rFonts w:ascii="Arial" w:eastAsia="Calibri" w:hAnsi="Arial" w:cs="Arial"/>
          <w:b/>
          <w:i/>
          <w:color w:val="1F4E79" w:themeColor="accent5" w:themeShade="80"/>
          <w:sz w:val="24"/>
          <w:szCs w:val="24"/>
          <w:lang w:eastAsia="fr-FR"/>
        </w:rPr>
        <w:t>SSA</w:t>
      </w:r>
      <w:r w:rsidRPr="00723F77">
        <w:rPr>
          <w:rFonts w:ascii="Arial" w:eastAsia="Calibri" w:hAnsi="Arial" w:cs="Arial"/>
          <w:b/>
          <w:i/>
          <w:sz w:val="24"/>
          <w:szCs w:val="24"/>
          <w:lang w:eastAsia="fr-FR"/>
        </w:rPr>
        <w:t xml:space="preserve">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CD0FE5">
        <w:rPr>
          <w:rFonts w:ascii="Arial" w:eastAsia="Calibri" w:hAnsi="Arial" w:cs="Arial"/>
          <w:b/>
          <w:i/>
          <w:color w:val="FF0000"/>
          <w:sz w:val="24"/>
          <w:szCs w:val="24"/>
          <w:lang w:eastAsia="fr-FR"/>
        </w:rPr>
        <w:t>SSB</w:t>
      </w:r>
      <w:r w:rsidRPr="00723F77">
        <w:rPr>
          <w:rFonts w:ascii="Arial" w:eastAsia="Calibri" w:hAnsi="Arial" w:cs="Arial"/>
          <w:b/>
          <w:i/>
          <w:sz w:val="24"/>
          <w:szCs w:val="24"/>
          <w:lang w:eastAsia="fr-FR"/>
        </w:rPr>
        <w:t xml:space="preserve">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63CCD"/>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66C28"/>
    <w:rsid w:val="001705F4"/>
    <w:rsid w:val="00190995"/>
    <w:rsid w:val="001A4796"/>
    <w:rsid w:val="001D474B"/>
    <w:rsid w:val="001F650A"/>
    <w:rsid w:val="002003AD"/>
    <w:rsid w:val="00217B0F"/>
    <w:rsid w:val="002421FE"/>
    <w:rsid w:val="00247CF0"/>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5E34"/>
    <w:rsid w:val="00467005"/>
    <w:rsid w:val="004A2D2D"/>
    <w:rsid w:val="004A5154"/>
    <w:rsid w:val="004F48EE"/>
    <w:rsid w:val="00531928"/>
    <w:rsid w:val="005440A4"/>
    <w:rsid w:val="00546A5A"/>
    <w:rsid w:val="00566580"/>
    <w:rsid w:val="00567AF3"/>
    <w:rsid w:val="00583BC8"/>
    <w:rsid w:val="006226A6"/>
    <w:rsid w:val="00654380"/>
    <w:rsid w:val="00664BE1"/>
    <w:rsid w:val="006B055C"/>
    <w:rsid w:val="006E32BB"/>
    <w:rsid w:val="006E38E0"/>
    <w:rsid w:val="00710599"/>
    <w:rsid w:val="00723F77"/>
    <w:rsid w:val="00744696"/>
    <w:rsid w:val="0076003A"/>
    <w:rsid w:val="00772067"/>
    <w:rsid w:val="0077545D"/>
    <w:rsid w:val="007A0A4B"/>
    <w:rsid w:val="007A0E6C"/>
    <w:rsid w:val="007A2A06"/>
    <w:rsid w:val="007B1237"/>
    <w:rsid w:val="007B661D"/>
    <w:rsid w:val="007B76C2"/>
    <w:rsid w:val="007D19FF"/>
    <w:rsid w:val="007D2085"/>
    <w:rsid w:val="0083454A"/>
    <w:rsid w:val="00837B38"/>
    <w:rsid w:val="00896554"/>
    <w:rsid w:val="008A7407"/>
    <w:rsid w:val="008F10C2"/>
    <w:rsid w:val="00902D2F"/>
    <w:rsid w:val="00953CFA"/>
    <w:rsid w:val="00961FDF"/>
    <w:rsid w:val="00983B7D"/>
    <w:rsid w:val="009A37C2"/>
    <w:rsid w:val="009F3AB8"/>
    <w:rsid w:val="00A11606"/>
    <w:rsid w:val="00A6401C"/>
    <w:rsid w:val="00A81AB7"/>
    <w:rsid w:val="00AA522C"/>
    <w:rsid w:val="00AE7F3B"/>
    <w:rsid w:val="00B34260"/>
    <w:rsid w:val="00B41C02"/>
    <w:rsid w:val="00B4335A"/>
    <w:rsid w:val="00B50E38"/>
    <w:rsid w:val="00B554B8"/>
    <w:rsid w:val="00B64EE0"/>
    <w:rsid w:val="00BB0E32"/>
    <w:rsid w:val="00BB6D9D"/>
    <w:rsid w:val="00BC77A5"/>
    <w:rsid w:val="00BD3FC1"/>
    <w:rsid w:val="00BE62FA"/>
    <w:rsid w:val="00C17ED7"/>
    <w:rsid w:val="00C41F15"/>
    <w:rsid w:val="00C70171"/>
    <w:rsid w:val="00C70A68"/>
    <w:rsid w:val="00C82E98"/>
    <w:rsid w:val="00CB17C9"/>
    <w:rsid w:val="00CC26C0"/>
    <w:rsid w:val="00CC72FF"/>
    <w:rsid w:val="00CC7C21"/>
    <w:rsid w:val="00CD0FE5"/>
    <w:rsid w:val="00CE0886"/>
    <w:rsid w:val="00CF2516"/>
    <w:rsid w:val="00CF6D63"/>
    <w:rsid w:val="00D23B28"/>
    <w:rsid w:val="00D46C8D"/>
    <w:rsid w:val="00DA1359"/>
    <w:rsid w:val="00DE5444"/>
    <w:rsid w:val="00DF072F"/>
    <w:rsid w:val="00E32014"/>
    <w:rsid w:val="00E3727C"/>
    <w:rsid w:val="00EB58BA"/>
    <w:rsid w:val="00ED6555"/>
    <w:rsid w:val="00F04A6E"/>
    <w:rsid w:val="00F04DEF"/>
    <w:rsid w:val="00F31070"/>
    <w:rsid w:val="00F53F10"/>
    <w:rsid w:val="00F53F60"/>
    <w:rsid w:val="00F636F8"/>
    <w:rsid w:val="00FA2C8E"/>
    <w:rsid w:val="00FC1860"/>
    <w:rsid w:val="00FC7EA5"/>
    <w:rsid w:val="00FF78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3</Pages>
  <Words>374</Words>
  <Characters>2058</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106</cp:revision>
  <dcterms:created xsi:type="dcterms:W3CDTF">2021-11-25T09:44:00Z</dcterms:created>
  <dcterms:modified xsi:type="dcterms:W3CDTF">2022-02-06T16:43:00Z</dcterms:modified>
</cp:coreProperties>
</file>