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4ADF7C3E" w14:textId="13CBB9F5" w:rsidR="00AE5AE1" w:rsidRPr="00AE5AE1" w:rsidRDefault="00AE5AE1" w:rsidP="006E333E">
      <w:pPr>
        <w:jc w:val="both"/>
        <w:rPr>
          <w:rFonts w:ascii="Tahoma" w:hAnsi="Tahoma" w:cs="Tahoma"/>
          <w:sz w:val="32"/>
          <w:szCs w:val="32"/>
        </w:rPr>
      </w:pPr>
      <w:r w:rsidRPr="00AE5AE1">
        <w:rPr>
          <w:rFonts w:ascii="Tahoma" w:hAnsi="Tahoma" w:cs="Tahoma"/>
          <w:sz w:val="32"/>
          <w:szCs w:val="32"/>
        </w:rPr>
        <w:t xml:space="preserve">                           (05 février 2022)</w:t>
      </w:r>
    </w:p>
    <w:p w14:paraId="06124204" w14:textId="77777777" w:rsidR="00AE5AE1" w:rsidRDefault="00AE5AE1" w:rsidP="006E333E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4431C15C" w14:textId="7AAE26C5" w:rsidR="006E333E" w:rsidRPr="00041E45" w:rsidRDefault="006E333E" w:rsidP="006E333E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Mois</w:t>
      </w:r>
    </w:p>
    <w:p w14:paraId="77A712C5" w14:textId="4FB1CF32" w:rsidR="006E333E" w:rsidRPr="00AE5AE1" w:rsidRDefault="006E333E" w:rsidP="00B41C02">
      <w:pPr>
        <w:jc w:val="both"/>
        <w:rPr>
          <w:rFonts w:ascii="Tahoma" w:hAnsi="Tahoma" w:cs="Tahoma"/>
          <w:i/>
          <w:iCs/>
          <w:color w:val="FF0000"/>
          <w:sz w:val="32"/>
          <w:szCs w:val="32"/>
        </w:rPr>
      </w:pPr>
      <w:r w:rsidRPr="00AE5AE1">
        <w:rPr>
          <w:rFonts w:ascii="Tahoma" w:hAnsi="Tahoma" w:cs="Tahoma"/>
          <w:i/>
          <w:iCs/>
          <w:color w:val="FF0000"/>
          <w:sz w:val="32"/>
          <w:szCs w:val="32"/>
        </w:rPr>
        <w:t>(Ne pas tenir compte de la dernière chandelle qui est en cours de formation)</w:t>
      </w:r>
    </w:p>
    <w:p w14:paraId="009E3815" w14:textId="7B672AFB" w:rsidR="006E333E" w:rsidRDefault="006E333E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FE8E35C" wp14:editId="5F450F48">
            <wp:extent cx="5760691" cy="3268980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750" cy="327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2077D" w14:textId="2AA94631" w:rsidR="006E333E" w:rsidRDefault="006E333E" w:rsidP="006E333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les quatre derniers mois, nous avons une alternance de bougies blanches et de bougies noires. En </w:t>
      </w:r>
      <w:r w:rsidR="007D0C79">
        <w:rPr>
          <w:rFonts w:ascii="Tahoma" w:hAnsi="Tahoma" w:cs="Tahoma"/>
        </w:rPr>
        <w:t>règle</w:t>
      </w:r>
      <w:r>
        <w:rPr>
          <w:rFonts w:ascii="Tahoma" w:hAnsi="Tahoma" w:cs="Tahoma"/>
        </w:rPr>
        <w:t xml:space="preserve"> générale, ce type d’enchainement nous indique que les intervenants sont perdus et l’absence de conviction directionnelle d</w:t>
      </w:r>
      <w:r w:rsidR="00AE5AE1">
        <w:rPr>
          <w:rFonts w:ascii="Tahoma" w:hAnsi="Tahoma" w:cs="Tahoma"/>
        </w:rPr>
        <w:t>oi</w:t>
      </w:r>
      <w:r>
        <w:rPr>
          <w:rFonts w:ascii="Tahoma" w:hAnsi="Tahoma" w:cs="Tahoma"/>
        </w:rPr>
        <w:t>t nous amener à nous éloigner d</w:t>
      </w:r>
      <w:r w:rsidR="00AE5AE1">
        <w:rPr>
          <w:rFonts w:ascii="Tahoma" w:hAnsi="Tahoma" w:cs="Tahoma"/>
        </w:rPr>
        <w:t>e ce</w:t>
      </w:r>
      <w:r>
        <w:rPr>
          <w:rFonts w:ascii="Tahoma" w:hAnsi="Tahoma" w:cs="Tahoma"/>
        </w:rPr>
        <w:t xml:space="preserve"> marché tant qu’il n’a</w:t>
      </w:r>
      <w:r w:rsidR="00AE5AE1">
        <w:rPr>
          <w:rFonts w:ascii="Tahoma" w:hAnsi="Tahoma" w:cs="Tahoma"/>
        </w:rPr>
        <w:t>ura</w:t>
      </w:r>
      <w:r>
        <w:rPr>
          <w:rFonts w:ascii="Tahoma" w:hAnsi="Tahoma" w:cs="Tahoma"/>
        </w:rPr>
        <w:t xml:space="preserve"> pas retrouv</w:t>
      </w:r>
      <w:r w:rsidR="00AE5AE1">
        <w:rPr>
          <w:rFonts w:ascii="Tahoma" w:hAnsi="Tahoma" w:cs="Tahoma"/>
        </w:rPr>
        <w:t>é</w:t>
      </w:r>
      <w:r>
        <w:rPr>
          <w:rFonts w:ascii="Tahoma" w:hAnsi="Tahoma" w:cs="Tahoma"/>
        </w:rPr>
        <w:t xml:space="preserve"> un sens.</w:t>
      </w:r>
    </w:p>
    <w:p w14:paraId="7A67D1F2" w14:textId="77777777" w:rsidR="000E08CA" w:rsidRDefault="006572E4" w:rsidP="006E333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chandelle du mois de janvier dessine avec celle de décembre une structure d’alerte baissière en nuage noir. Mais dans le contexte que je viens </w:t>
      </w:r>
      <w:r w:rsidR="00D92114">
        <w:rPr>
          <w:rFonts w:ascii="Tahoma" w:hAnsi="Tahoma" w:cs="Tahoma"/>
        </w:rPr>
        <w:t>de décrire, son impact sur les prix devrait être minoré.</w:t>
      </w:r>
    </w:p>
    <w:p w14:paraId="2B427291" w14:textId="1D5801CD" w:rsidR="006E333E" w:rsidRDefault="00AE5AE1" w:rsidP="006E333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l</w:t>
      </w:r>
      <w:r w:rsidR="007507F6">
        <w:rPr>
          <w:rFonts w:ascii="Tahoma" w:hAnsi="Tahoma" w:cs="Tahoma"/>
        </w:rPr>
        <w:t xml:space="preserve">e plus </w:t>
      </w:r>
      <w:r w:rsidR="007D0C79">
        <w:rPr>
          <w:rFonts w:ascii="Tahoma" w:hAnsi="Tahoma" w:cs="Tahoma"/>
        </w:rPr>
        <w:t>problématique</w:t>
      </w:r>
      <w:r w:rsidR="007507F6">
        <w:rPr>
          <w:rFonts w:ascii="Tahoma" w:hAnsi="Tahoma" w:cs="Tahoma"/>
        </w:rPr>
        <w:t xml:space="preserve"> pour les haussiers </w:t>
      </w:r>
      <w:r>
        <w:rPr>
          <w:rFonts w:ascii="Tahoma" w:hAnsi="Tahoma" w:cs="Tahoma"/>
        </w:rPr>
        <w:t>sera</w:t>
      </w:r>
      <w:r w:rsidR="007507F6">
        <w:rPr>
          <w:rFonts w:ascii="Tahoma" w:hAnsi="Tahoma" w:cs="Tahoma"/>
        </w:rPr>
        <w:t xml:space="preserve"> le développement du plat de KS sur 3359. Ce dernier devrait se prolonger encore pendant deux mois. D’une part il attirera les prix à lui et d’autre part, il sera un support difficile à casser. </w:t>
      </w:r>
      <w:r w:rsidR="006E333E">
        <w:rPr>
          <w:rFonts w:ascii="Tahoma" w:hAnsi="Tahoma" w:cs="Tahoma"/>
        </w:rPr>
        <w:t xml:space="preserve"> </w:t>
      </w:r>
    </w:p>
    <w:p w14:paraId="3585EBD1" w14:textId="536CA53B" w:rsidR="006E333E" w:rsidRDefault="006E333E" w:rsidP="00B41C02">
      <w:pPr>
        <w:jc w:val="both"/>
        <w:rPr>
          <w:rFonts w:ascii="Tahoma" w:hAnsi="Tahoma" w:cs="Tahoma"/>
          <w:sz w:val="32"/>
          <w:szCs w:val="32"/>
        </w:rPr>
      </w:pPr>
    </w:p>
    <w:p w14:paraId="0A0BB622" w14:textId="7E56E6D4" w:rsidR="007D0C79" w:rsidRDefault="007D0C79" w:rsidP="00B41C02">
      <w:pPr>
        <w:jc w:val="both"/>
        <w:rPr>
          <w:rFonts w:ascii="Tahoma" w:hAnsi="Tahoma" w:cs="Tahoma"/>
          <w:sz w:val="32"/>
          <w:szCs w:val="32"/>
        </w:rPr>
      </w:pPr>
    </w:p>
    <w:p w14:paraId="66E240DC" w14:textId="77777777" w:rsidR="007D0C79" w:rsidRDefault="007D0C79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6A0F7EC2" w14:textId="61D365DE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bookmarkStart w:id="0" w:name="_Hlk94975232"/>
      <w:r w:rsidRPr="00041E45">
        <w:rPr>
          <w:rFonts w:ascii="Tahoma" w:hAnsi="Tahoma" w:cs="Tahoma"/>
          <w:sz w:val="32"/>
          <w:szCs w:val="32"/>
          <w:u w:val="single"/>
        </w:rPr>
        <w:lastRenderedPageBreak/>
        <w:t>Week</w:t>
      </w:r>
    </w:p>
    <w:bookmarkEnd w:id="0"/>
    <w:p w14:paraId="2862B446" w14:textId="682573E1" w:rsidR="00902D2F" w:rsidRDefault="00B2721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FDB7532" wp14:editId="0C2B8C0E">
            <wp:extent cx="5760691" cy="36957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569" cy="369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323B0F93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bookmarkStart w:id="1" w:name="_Hlk94975308"/>
      <w:r w:rsidR="00041E45"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B2721F">
        <w:rPr>
          <w:rFonts w:ascii="Tahoma" w:hAnsi="Tahoma" w:cs="Tahoma"/>
        </w:rPr>
        <w:t xml:space="preserve"> rebond de la semaine dernière ne s’est pas poursuivi. Malgré une ouverture en hausse par rapport à la précédente </w:t>
      </w:r>
      <w:r w:rsidR="007D0C79">
        <w:rPr>
          <w:rFonts w:ascii="Tahoma" w:hAnsi="Tahoma" w:cs="Tahoma"/>
        </w:rPr>
        <w:t>clôture</w:t>
      </w:r>
      <w:r w:rsidR="00B2721F">
        <w:rPr>
          <w:rFonts w:ascii="Tahoma" w:hAnsi="Tahoma" w:cs="Tahoma"/>
        </w:rPr>
        <w:t xml:space="preserve"> et un haut en semaine à 4259, les prix sont repartis à la baisse sous l’effet des données macro</w:t>
      </w:r>
      <w:r w:rsidR="007D0C79">
        <w:rPr>
          <w:rFonts w:ascii="Tahoma" w:hAnsi="Tahoma" w:cs="Tahoma"/>
        </w:rPr>
        <w:t>-</w:t>
      </w:r>
      <w:r w:rsidR="00B2721F">
        <w:rPr>
          <w:rFonts w:ascii="Tahoma" w:hAnsi="Tahoma" w:cs="Tahoma"/>
        </w:rPr>
        <w:t>économiques défavorables aux actions (BCE hawkish et NFP plus forts qu’attendus).</w:t>
      </w:r>
    </w:p>
    <w:p w14:paraId="6DCE94D9" w14:textId="3D9348B0" w:rsidR="00B2721F" w:rsidRDefault="00B2721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Depuis le doji de type pierre tombale, le marché a enchainé 4 semaines de baisse. </w:t>
      </w:r>
      <w:r w:rsidR="007D0C79">
        <w:rPr>
          <w:rFonts w:ascii="Tahoma" w:hAnsi="Tahoma" w:cs="Tahoma"/>
        </w:rPr>
        <w:t>L</w:t>
      </w:r>
      <w:r>
        <w:rPr>
          <w:rFonts w:ascii="Tahoma" w:hAnsi="Tahoma" w:cs="Tahoma"/>
        </w:rPr>
        <w:t xml:space="preserve">a dernière </w:t>
      </w:r>
      <w:r w:rsidR="00BE54FE">
        <w:rPr>
          <w:rFonts w:ascii="Tahoma" w:hAnsi="Tahoma" w:cs="Tahoma"/>
        </w:rPr>
        <w:t xml:space="preserve">chandelle </w:t>
      </w:r>
      <w:r>
        <w:rPr>
          <w:rFonts w:ascii="Tahoma" w:hAnsi="Tahoma" w:cs="Tahoma"/>
        </w:rPr>
        <w:t xml:space="preserve">montre </w:t>
      </w:r>
      <w:r w:rsidR="00BE54FE">
        <w:rPr>
          <w:rFonts w:ascii="Tahoma" w:hAnsi="Tahoma" w:cs="Tahoma"/>
        </w:rPr>
        <w:t>que les acheteurs de la semaine précédente n’ont pas tenu leurs positions.</w:t>
      </w:r>
      <w:r w:rsidR="00843716">
        <w:rPr>
          <w:rFonts w:ascii="Tahoma" w:hAnsi="Tahoma" w:cs="Tahoma"/>
        </w:rPr>
        <w:t xml:space="preserve"> Cette action des prix donne un avantage certain aux baissiers.</w:t>
      </w:r>
    </w:p>
    <w:p w14:paraId="021C2F30" w14:textId="7CBFDA86" w:rsidR="00843716" w:rsidRDefault="0084371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le développement des courbes Ichimoku, TS et KS, indique un marché sans réelle tendance. Hausses et baisses peuvent alors s’alterner sans directions </w:t>
      </w:r>
      <w:r w:rsidR="007D0C79">
        <w:rPr>
          <w:rFonts w:ascii="Tahoma" w:hAnsi="Tahoma" w:cs="Tahoma"/>
        </w:rPr>
        <w:t>précises</w:t>
      </w:r>
      <w:r>
        <w:rPr>
          <w:rFonts w:ascii="Tahoma" w:hAnsi="Tahoma" w:cs="Tahoma"/>
        </w:rPr>
        <w:t xml:space="preserve">. </w:t>
      </w:r>
    </w:p>
    <w:p w14:paraId="0DC33983" w14:textId="128E9228" w:rsidR="00843716" w:rsidRDefault="0084371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le montre le court terme, les prix évoluent au sein d’une dérive latérale.</w:t>
      </w:r>
    </w:p>
    <w:bookmarkEnd w:id="1"/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160F711D" w:rsidR="00583BC8" w:rsidRDefault="00225213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69731004" wp14:editId="714CF30C">
            <wp:extent cx="5760253" cy="3177540"/>
            <wp:effectExtent l="0" t="0" r="0" b="381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896" cy="3178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20D15224" w:rsidR="00163C46" w:rsidRDefault="0022521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cette unité de temps, l’analyse est plus claire. Comme on peut le constater, les prix évoluent toujours au sein de la dérive latérale comprise entre </w:t>
      </w:r>
      <w:r w:rsidR="0035200A">
        <w:rPr>
          <w:rFonts w:ascii="Tahoma" w:hAnsi="Tahoma" w:cs="Tahoma"/>
        </w:rPr>
        <w:t>4400 et 4030. Tant que l’indice ne</w:t>
      </w:r>
      <w:r w:rsidR="007D0C79">
        <w:rPr>
          <w:rFonts w:ascii="Tahoma" w:hAnsi="Tahoma" w:cs="Tahoma"/>
        </w:rPr>
        <w:t xml:space="preserve"> se</w:t>
      </w:r>
      <w:r w:rsidR="0035200A">
        <w:rPr>
          <w:rFonts w:ascii="Tahoma" w:hAnsi="Tahoma" w:cs="Tahoma"/>
        </w:rPr>
        <w:t xml:space="preserve"> sera pas établi durablement sous 4030, c’est-à-dire en rupture du support et en maintien des cours sous ce niveau, la baisse sera écartée de l’analyse.</w:t>
      </w:r>
    </w:p>
    <w:p w14:paraId="10BB9766" w14:textId="1C60169C" w:rsidR="00723F77" w:rsidRDefault="0035200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zone d’équilibre quant à elle se situe sur 4220. Comme on peut l’observer, elle a été franchie au cours de la semaine mais </w:t>
      </w:r>
      <w:r w:rsidR="007D0C79">
        <w:rPr>
          <w:rFonts w:ascii="Tahoma" w:hAnsi="Tahoma" w:cs="Tahoma"/>
        </w:rPr>
        <w:t xml:space="preserve">son </w:t>
      </w:r>
      <w:r>
        <w:rPr>
          <w:rFonts w:ascii="Tahoma" w:hAnsi="Tahoma" w:cs="Tahoma"/>
        </w:rPr>
        <w:t>dépassement n’a été que temporaire. On peut ainsi penser que l’</w:t>
      </w:r>
      <w:r w:rsidR="007D0C79">
        <w:rPr>
          <w:rFonts w:ascii="Tahoma" w:hAnsi="Tahoma" w:cs="Tahoma"/>
        </w:rPr>
        <w:t>échec</w:t>
      </w:r>
      <w:r>
        <w:rPr>
          <w:rFonts w:ascii="Tahoma" w:hAnsi="Tahoma" w:cs="Tahoma"/>
        </w:rPr>
        <w:t xml:space="preserve"> de cassure durable de 4220 a renvoyé l’indice en zone basse de consolidation.</w:t>
      </w:r>
    </w:p>
    <w:p w14:paraId="3ED81A9D" w14:textId="74B82342" w:rsidR="009811A5" w:rsidRDefault="009811A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zone basse de la dérive latérale peut être l’élément qui </w:t>
      </w:r>
      <w:r w:rsidR="007D0C79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les derniers vendeurs à réaliser leurs gains, permettant ainsi aux prix de rebondir et de se maintenir au sein de la dérive latérale.</w:t>
      </w:r>
    </w:p>
    <w:p w14:paraId="655E9AC0" w14:textId="4962DFDF" w:rsidR="00723F77" w:rsidRDefault="00D46F5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cassure du support de 4030 </w:t>
      </w:r>
      <w:r w:rsidR="007D0C79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l’indice sur son support de long terme de 3359. Mais avant cette cible, le marché devra s’affranchir de ses supports de moyen terme</w:t>
      </w:r>
      <w:r w:rsidR="007D0C79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matérialisé</w:t>
      </w:r>
      <w:r w:rsidR="00804793">
        <w:rPr>
          <w:rFonts w:ascii="Tahoma" w:hAnsi="Tahoma" w:cs="Tahoma"/>
        </w:rPr>
        <w:t xml:space="preserve">s par un nuage compris entre 4000 et 3500. </w:t>
      </w: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0E08CA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25213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00A"/>
    <w:rsid w:val="00352DD9"/>
    <w:rsid w:val="003D2025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572E4"/>
    <w:rsid w:val="006E32BB"/>
    <w:rsid w:val="006E333E"/>
    <w:rsid w:val="00723F77"/>
    <w:rsid w:val="00744696"/>
    <w:rsid w:val="007507F6"/>
    <w:rsid w:val="00772067"/>
    <w:rsid w:val="0077545D"/>
    <w:rsid w:val="007A0E6C"/>
    <w:rsid w:val="007B661D"/>
    <w:rsid w:val="007D0C79"/>
    <w:rsid w:val="007D19FF"/>
    <w:rsid w:val="007D2085"/>
    <w:rsid w:val="00804793"/>
    <w:rsid w:val="0083454A"/>
    <w:rsid w:val="00837B38"/>
    <w:rsid w:val="00843716"/>
    <w:rsid w:val="00896554"/>
    <w:rsid w:val="008A7407"/>
    <w:rsid w:val="008F10C2"/>
    <w:rsid w:val="00902D2F"/>
    <w:rsid w:val="00961FDF"/>
    <w:rsid w:val="009811A5"/>
    <w:rsid w:val="00983B7D"/>
    <w:rsid w:val="009A37C2"/>
    <w:rsid w:val="009F3AB8"/>
    <w:rsid w:val="00A11606"/>
    <w:rsid w:val="00A6401C"/>
    <w:rsid w:val="00A81AB7"/>
    <w:rsid w:val="00AE5AE1"/>
    <w:rsid w:val="00AE7F3B"/>
    <w:rsid w:val="00B2721F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BE54FE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46F57"/>
    <w:rsid w:val="00D92114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4</Pages>
  <Words>557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86</cp:revision>
  <dcterms:created xsi:type="dcterms:W3CDTF">2021-11-25T09:44:00Z</dcterms:created>
  <dcterms:modified xsi:type="dcterms:W3CDTF">2022-02-05T17:59:00Z</dcterms:modified>
</cp:coreProperties>
</file>