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7AE5DEDE" w14:textId="77777777" w:rsidR="007A2A06" w:rsidRPr="00041E45" w:rsidRDefault="007A2A06" w:rsidP="00B41C02">
      <w:pPr>
        <w:jc w:val="both"/>
        <w:rPr>
          <w:rFonts w:ascii="Tahoma" w:hAnsi="Tahoma" w:cs="Tahoma"/>
          <w:sz w:val="32"/>
          <w:szCs w:val="32"/>
          <w:u w:val="single"/>
        </w:rPr>
      </w:pPr>
      <w:bookmarkStart w:id="0" w:name="_Hlk95059585"/>
    </w:p>
    <w:bookmarkEnd w:id="0"/>
    <w:p w14:paraId="22B5EA68" w14:textId="77777777" w:rsidR="007A2A06" w:rsidRPr="00041E45" w:rsidRDefault="007A2A06" w:rsidP="007A2A06">
      <w:pPr>
        <w:jc w:val="both"/>
        <w:rPr>
          <w:rFonts w:ascii="Tahoma" w:hAnsi="Tahoma" w:cs="Tahoma"/>
          <w:sz w:val="32"/>
          <w:szCs w:val="32"/>
          <w:u w:val="single"/>
        </w:rPr>
      </w:pPr>
      <w:r w:rsidRPr="00041E45">
        <w:rPr>
          <w:rFonts w:ascii="Tahoma" w:hAnsi="Tahoma" w:cs="Tahoma"/>
          <w:sz w:val="32"/>
          <w:szCs w:val="32"/>
          <w:u w:val="single"/>
        </w:rPr>
        <w:t>Week</w:t>
      </w:r>
    </w:p>
    <w:p w14:paraId="2862B446" w14:textId="5B605761" w:rsidR="00902D2F" w:rsidRDefault="00B96663" w:rsidP="00B41C02">
      <w:pPr>
        <w:jc w:val="both"/>
        <w:rPr>
          <w:rFonts w:ascii="Tahoma" w:hAnsi="Tahoma" w:cs="Tahoma"/>
        </w:rPr>
      </w:pPr>
      <w:r>
        <w:rPr>
          <w:noProof/>
        </w:rPr>
        <w:drawing>
          <wp:inline distT="0" distB="0" distL="0" distR="0" wp14:anchorId="79D62111" wp14:editId="19618E91">
            <wp:extent cx="5760720" cy="43205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374D1F17" w14:textId="562C5731" w:rsidR="00583BC8" w:rsidRDefault="00BB6D9D" w:rsidP="00B96663">
      <w:pPr>
        <w:jc w:val="both"/>
        <w:rPr>
          <w:rFonts w:ascii="Tahoma" w:hAnsi="Tahoma" w:cs="Tahoma"/>
        </w:rPr>
      </w:pPr>
      <w:r>
        <w:rPr>
          <w:rFonts w:ascii="Tahoma" w:hAnsi="Tahoma" w:cs="Tahoma"/>
        </w:rPr>
        <w:t xml:space="preserve"> </w:t>
      </w:r>
      <w:r w:rsidR="00041E45">
        <w:rPr>
          <w:rFonts w:ascii="Tahoma" w:hAnsi="Tahoma" w:cs="Tahoma"/>
        </w:rPr>
        <w:t>L</w:t>
      </w:r>
      <w:r w:rsidR="00247CF0">
        <w:rPr>
          <w:rFonts w:ascii="Tahoma" w:hAnsi="Tahoma" w:cs="Tahoma"/>
        </w:rPr>
        <w:t xml:space="preserve">e </w:t>
      </w:r>
      <w:r w:rsidR="00B96663">
        <w:rPr>
          <w:rFonts w:ascii="Tahoma" w:hAnsi="Tahoma" w:cs="Tahoma"/>
        </w:rPr>
        <w:t>support mentionné la semaine dernière n’a pas tenu. Les prix on</w:t>
      </w:r>
      <w:r w:rsidR="00D82825">
        <w:rPr>
          <w:rFonts w:ascii="Tahoma" w:hAnsi="Tahoma" w:cs="Tahoma"/>
        </w:rPr>
        <w:t>t</w:t>
      </w:r>
      <w:r w:rsidR="00B96663">
        <w:rPr>
          <w:rFonts w:ascii="Tahoma" w:hAnsi="Tahoma" w:cs="Tahoma"/>
        </w:rPr>
        <w:t xml:space="preserve"> dépassé </w:t>
      </w:r>
      <w:r w:rsidR="002D67ED">
        <w:rPr>
          <w:rFonts w:ascii="Tahoma" w:hAnsi="Tahoma" w:cs="Tahoma"/>
        </w:rPr>
        <w:t>165.64 pour terminer la semaine sur 164.95.</w:t>
      </w:r>
    </w:p>
    <w:p w14:paraId="201B1BA4" w14:textId="7AE07F5A" w:rsidR="00EF3125" w:rsidRDefault="00EF3125" w:rsidP="00B96663">
      <w:pPr>
        <w:jc w:val="both"/>
        <w:rPr>
          <w:rFonts w:ascii="Tahoma" w:hAnsi="Tahoma" w:cs="Tahoma"/>
        </w:rPr>
      </w:pPr>
      <w:r>
        <w:rPr>
          <w:rFonts w:ascii="Tahoma" w:hAnsi="Tahoma" w:cs="Tahoma"/>
        </w:rPr>
        <w:t>Le prolongement de la baisse affaibli encore plus le mouvement. Certes le signal baissier donné par la sortie de la dérive latérale, n’a pas été remis en cause. L’ancien support n’a même pas été testé. Mais tous les indicateurs techniques sont survendu</w:t>
      </w:r>
      <w:r w:rsidR="00654501">
        <w:rPr>
          <w:rFonts w:ascii="Tahoma" w:hAnsi="Tahoma" w:cs="Tahoma"/>
        </w:rPr>
        <w:t>s</w:t>
      </w:r>
      <w:r>
        <w:rPr>
          <w:rFonts w:ascii="Tahoma" w:hAnsi="Tahoma" w:cs="Tahoma"/>
        </w:rPr>
        <w:t xml:space="preserve"> et les cours se sont éloigné</w:t>
      </w:r>
      <w:r w:rsidR="00654501">
        <w:rPr>
          <w:rFonts w:ascii="Tahoma" w:hAnsi="Tahoma" w:cs="Tahoma"/>
        </w:rPr>
        <w:t>s</w:t>
      </w:r>
      <w:r>
        <w:rPr>
          <w:rFonts w:ascii="Tahoma" w:hAnsi="Tahoma" w:cs="Tahoma"/>
        </w:rPr>
        <w:t xml:space="preserve"> encore plus de la TS.</w:t>
      </w:r>
    </w:p>
    <w:p w14:paraId="33208C4E" w14:textId="7975FCF9" w:rsidR="00EF3125" w:rsidRDefault="00EF3125" w:rsidP="00B96663">
      <w:pPr>
        <w:jc w:val="both"/>
        <w:rPr>
          <w:rFonts w:ascii="Tahoma" w:hAnsi="Tahoma" w:cs="Tahoma"/>
        </w:rPr>
      </w:pPr>
      <w:r>
        <w:rPr>
          <w:rFonts w:ascii="Tahoma" w:hAnsi="Tahoma" w:cs="Tahoma"/>
        </w:rPr>
        <w:t xml:space="preserve">Cette situation </w:t>
      </w:r>
      <w:r w:rsidR="00654501">
        <w:rPr>
          <w:rFonts w:ascii="Tahoma" w:hAnsi="Tahoma" w:cs="Tahoma"/>
        </w:rPr>
        <w:t>demande une correction. Cette dernière sera salutaire si la baisse des prix doit se poursuivre.</w:t>
      </w:r>
    </w:p>
    <w:p w14:paraId="163E9813" w14:textId="77777777" w:rsidR="00953CFA" w:rsidRDefault="00953CFA"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52F0D3DD" w:rsidR="00583BC8" w:rsidRDefault="00583BC8" w:rsidP="00B41C02">
      <w:pPr>
        <w:jc w:val="both"/>
        <w:rPr>
          <w:rFonts w:ascii="Tahoma" w:hAnsi="Tahoma" w:cs="Tahoma"/>
        </w:rPr>
      </w:pPr>
    </w:p>
    <w:p w14:paraId="710BA38C" w14:textId="137B5F7F" w:rsidR="00163C46" w:rsidRDefault="008B35E8" w:rsidP="00263ED0">
      <w:pPr>
        <w:jc w:val="both"/>
        <w:rPr>
          <w:rFonts w:ascii="Tahoma" w:hAnsi="Tahoma" w:cs="Tahoma"/>
        </w:rPr>
      </w:pPr>
      <w:r>
        <w:rPr>
          <w:noProof/>
        </w:rPr>
        <w:lastRenderedPageBreak/>
        <w:drawing>
          <wp:inline distT="0" distB="0" distL="0" distR="0" wp14:anchorId="388E7F9D" wp14:editId="77FDFB2A">
            <wp:extent cx="5760720" cy="4320540"/>
            <wp:effectExtent l="0" t="0" r="0" b="381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571BEA57" w14:textId="3AC8984C" w:rsidR="00166C28" w:rsidRDefault="00AA522C" w:rsidP="00B96663">
      <w:pPr>
        <w:jc w:val="both"/>
        <w:rPr>
          <w:rFonts w:ascii="Tahoma" w:hAnsi="Tahoma" w:cs="Tahoma"/>
        </w:rPr>
      </w:pPr>
      <w:r>
        <w:rPr>
          <w:rFonts w:ascii="Tahoma" w:hAnsi="Tahoma" w:cs="Tahoma"/>
        </w:rPr>
        <w:t>L</w:t>
      </w:r>
      <w:r w:rsidR="008B35E8">
        <w:rPr>
          <w:rFonts w:ascii="Tahoma" w:hAnsi="Tahoma" w:cs="Tahoma"/>
        </w:rPr>
        <w:t xml:space="preserve">a dernière chandelle est une alerte haussière en marteau inversé. Elle montre la formation d’un courant acheteur sur le niveau de </w:t>
      </w:r>
      <w:r w:rsidR="009870AF">
        <w:rPr>
          <w:rFonts w:ascii="Tahoma" w:hAnsi="Tahoma" w:cs="Tahoma"/>
        </w:rPr>
        <w:t xml:space="preserve">164.48. Cette bougie nous indique aussi que les acheteurs n’ont pas tenu leurs positions. Le manque de conviction des acheteurs peut maintenant s’opposer à l’inquiétude des vendeurs. Ces derniers ont vu les prix rebondir </w:t>
      </w:r>
      <w:r w:rsidR="006D71F7">
        <w:rPr>
          <w:rFonts w:ascii="Tahoma" w:hAnsi="Tahoma" w:cs="Tahoma"/>
        </w:rPr>
        <w:t>et</w:t>
      </w:r>
      <w:r w:rsidR="009870AF">
        <w:rPr>
          <w:rFonts w:ascii="Tahoma" w:hAnsi="Tahoma" w:cs="Tahoma"/>
        </w:rPr>
        <w:t xml:space="preserve"> les mettre dans une situation délicate. La </w:t>
      </w:r>
      <w:r w:rsidR="00D82825">
        <w:rPr>
          <w:rFonts w:ascii="Tahoma" w:hAnsi="Tahoma" w:cs="Tahoma"/>
        </w:rPr>
        <w:t>clôture</w:t>
      </w:r>
      <w:r w:rsidR="009870AF">
        <w:rPr>
          <w:rFonts w:ascii="Tahoma" w:hAnsi="Tahoma" w:cs="Tahoma"/>
        </w:rPr>
        <w:t xml:space="preserve"> proche du niveau d’ouverture a permis d’atténuer leurs craintes. </w:t>
      </w:r>
    </w:p>
    <w:p w14:paraId="139BFBFB" w14:textId="753D7516" w:rsidR="009870AF" w:rsidRDefault="009870AF" w:rsidP="00B96663">
      <w:pPr>
        <w:jc w:val="both"/>
        <w:rPr>
          <w:rFonts w:ascii="Tahoma" w:hAnsi="Tahoma" w:cs="Tahoma"/>
        </w:rPr>
      </w:pPr>
      <w:r>
        <w:rPr>
          <w:rFonts w:ascii="Tahoma" w:hAnsi="Tahoma" w:cs="Tahoma"/>
        </w:rPr>
        <w:t xml:space="preserve">Un retour des prix </w:t>
      </w:r>
      <w:r w:rsidR="00D82825">
        <w:rPr>
          <w:rFonts w:ascii="Tahoma" w:hAnsi="Tahoma" w:cs="Tahoma"/>
        </w:rPr>
        <w:t>au-dessus</w:t>
      </w:r>
      <w:r>
        <w:rPr>
          <w:rFonts w:ascii="Tahoma" w:hAnsi="Tahoma" w:cs="Tahoma"/>
        </w:rPr>
        <w:t xml:space="preserve"> de 166.46, point haut du marteau inversé exacerbera la crainte des vendeurs, </w:t>
      </w:r>
      <w:r w:rsidR="006D71F7">
        <w:rPr>
          <w:rFonts w:ascii="Tahoma" w:hAnsi="Tahoma" w:cs="Tahoma"/>
        </w:rPr>
        <w:t xml:space="preserve">et les </w:t>
      </w:r>
      <w:proofErr w:type="spellStart"/>
      <w:r w:rsidR="006D71F7">
        <w:rPr>
          <w:rFonts w:ascii="Tahoma" w:hAnsi="Tahoma" w:cs="Tahoma"/>
        </w:rPr>
        <w:t>amenera</w:t>
      </w:r>
      <w:proofErr w:type="spellEnd"/>
      <w:r>
        <w:rPr>
          <w:rFonts w:ascii="Tahoma" w:hAnsi="Tahoma" w:cs="Tahoma"/>
        </w:rPr>
        <w:t xml:space="preserve"> à réaliser une partie de </w:t>
      </w:r>
      <w:r w:rsidR="00D82825">
        <w:rPr>
          <w:rFonts w:ascii="Tahoma" w:hAnsi="Tahoma" w:cs="Tahoma"/>
        </w:rPr>
        <w:t>leurs gains</w:t>
      </w:r>
      <w:r>
        <w:rPr>
          <w:rFonts w:ascii="Tahoma" w:hAnsi="Tahoma" w:cs="Tahoma"/>
        </w:rPr>
        <w:t>.</w:t>
      </w:r>
    </w:p>
    <w:p w14:paraId="36BDAC3A" w14:textId="0656AE99" w:rsidR="009870AF" w:rsidRDefault="009870AF" w:rsidP="00B96663">
      <w:pPr>
        <w:jc w:val="both"/>
        <w:rPr>
          <w:rFonts w:ascii="Tahoma" w:hAnsi="Tahoma" w:cs="Tahoma"/>
        </w:rPr>
      </w:pPr>
      <w:r>
        <w:rPr>
          <w:rFonts w:ascii="Tahoma" w:hAnsi="Tahoma" w:cs="Tahoma"/>
        </w:rPr>
        <w:t>Une cassure du point bas de la dernière bougie de 164.48 invalidera la bougie d’alerte et replacera le marché dans un environnement de poursuite de la baisse.</w:t>
      </w:r>
    </w:p>
    <w:p w14:paraId="60A7E64F" w14:textId="77777777" w:rsidR="00166C28" w:rsidRDefault="00166C28"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CD0FE5">
        <w:rPr>
          <w:rFonts w:ascii="Arial" w:eastAsia="Calibri" w:hAnsi="Arial" w:cs="Arial"/>
          <w:b/>
          <w:i/>
          <w:color w:val="1F4E79" w:themeColor="accent5" w:themeShade="80"/>
          <w:sz w:val="24"/>
          <w:szCs w:val="24"/>
          <w:lang w:eastAsia="fr-FR"/>
        </w:rPr>
        <w:t>SSA</w:t>
      </w:r>
      <w:r w:rsidRPr="00723F77">
        <w:rPr>
          <w:rFonts w:ascii="Arial" w:eastAsia="Calibri" w:hAnsi="Arial" w:cs="Arial"/>
          <w:b/>
          <w:i/>
          <w:sz w:val="24"/>
          <w:szCs w:val="24"/>
          <w:lang w:eastAsia="fr-FR"/>
        </w:rPr>
        <w:t xml:space="preserve">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CD0FE5">
        <w:rPr>
          <w:rFonts w:ascii="Arial" w:eastAsia="Calibri" w:hAnsi="Arial" w:cs="Arial"/>
          <w:b/>
          <w:i/>
          <w:color w:val="FF0000"/>
          <w:sz w:val="24"/>
          <w:szCs w:val="24"/>
          <w:lang w:eastAsia="fr-FR"/>
        </w:rPr>
        <w:t>SSB</w:t>
      </w:r>
      <w:r w:rsidRPr="00723F77">
        <w:rPr>
          <w:rFonts w:ascii="Arial" w:eastAsia="Calibri" w:hAnsi="Arial" w:cs="Arial"/>
          <w:b/>
          <w:i/>
          <w:sz w:val="24"/>
          <w:szCs w:val="24"/>
          <w:lang w:eastAsia="fr-FR"/>
        </w:rPr>
        <w:t xml:space="preserve">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63CCD"/>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66C28"/>
    <w:rsid w:val="001705F4"/>
    <w:rsid w:val="00190995"/>
    <w:rsid w:val="001A4796"/>
    <w:rsid w:val="001D474B"/>
    <w:rsid w:val="001F650A"/>
    <w:rsid w:val="002003AD"/>
    <w:rsid w:val="00217B0F"/>
    <w:rsid w:val="002421FE"/>
    <w:rsid w:val="00247CF0"/>
    <w:rsid w:val="00262E25"/>
    <w:rsid w:val="00263ED0"/>
    <w:rsid w:val="002A1F8E"/>
    <w:rsid w:val="002B5CB1"/>
    <w:rsid w:val="002C0A31"/>
    <w:rsid w:val="002D67ED"/>
    <w:rsid w:val="002F54B0"/>
    <w:rsid w:val="00303214"/>
    <w:rsid w:val="0030643B"/>
    <w:rsid w:val="00337611"/>
    <w:rsid w:val="00340FD9"/>
    <w:rsid w:val="00352DD9"/>
    <w:rsid w:val="003767E0"/>
    <w:rsid w:val="00397D3D"/>
    <w:rsid w:val="0040171B"/>
    <w:rsid w:val="00465E34"/>
    <w:rsid w:val="00467005"/>
    <w:rsid w:val="004A2D2D"/>
    <w:rsid w:val="004A5154"/>
    <w:rsid w:val="004F48EE"/>
    <w:rsid w:val="00531928"/>
    <w:rsid w:val="005440A4"/>
    <w:rsid w:val="00546A5A"/>
    <w:rsid w:val="00566580"/>
    <w:rsid w:val="00567AF3"/>
    <w:rsid w:val="00583BC8"/>
    <w:rsid w:val="006226A6"/>
    <w:rsid w:val="00654380"/>
    <w:rsid w:val="00654501"/>
    <w:rsid w:val="00664BE1"/>
    <w:rsid w:val="006B055C"/>
    <w:rsid w:val="006D71F7"/>
    <w:rsid w:val="006E32BB"/>
    <w:rsid w:val="006E38E0"/>
    <w:rsid w:val="00710599"/>
    <w:rsid w:val="00723F77"/>
    <w:rsid w:val="00744696"/>
    <w:rsid w:val="0076003A"/>
    <w:rsid w:val="00772067"/>
    <w:rsid w:val="0077545D"/>
    <w:rsid w:val="007A0A4B"/>
    <w:rsid w:val="007A0E6C"/>
    <w:rsid w:val="007A2A06"/>
    <w:rsid w:val="007B1237"/>
    <w:rsid w:val="007B661D"/>
    <w:rsid w:val="007B76C2"/>
    <w:rsid w:val="007D19FF"/>
    <w:rsid w:val="007D2085"/>
    <w:rsid w:val="0083454A"/>
    <w:rsid w:val="00837B38"/>
    <w:rsid w:val="00896554"/>
    <w:rsid w:val="008A7407"/>
    <w:rsid w:val="008B35E8"/>
    <w:rsid w:val="008F10C2"/>
    <w:rsid w:val="00902D2F"/>
    <w:rsid w:val="00953CFA"/>
    <w:rsid w:val="00961FDF"/>
    <w:rsid w:val="00983B7D"/>
    <w:rsid w:val="009870AF"/>
    <w:rsid w:val="009A37C2"/>
    <w:rsid w:val="009F3AB8"/>
    <w:rsid w:val="00A11606"/>
    <w:rsid w:val="00A6401C"/>
    <w:rsid w:val="00A81AB7"/>
    <w:rsid w:val="00AA522C"/>
    <w:rsid w:val="00AE7F3B"/>
    <w:rsid w:val="00B34260"/>
    <w:rsid w:val="00B41C02"/>
    <w:rsid w:val="00B4335A"/>
    <w:rsid w:val="00B50E38"/>
    <w:rsid w:val="00B554B8"/>
    <w:rsid w:val="00B64EE0"/>
    <w:rsid w:val="00B96663"/>
    <w:rsid w:val="00BB0E32"/>
    <w:rsid w:val="00BB6D9D"/>
    <w:rsid w:val="00BC77A5"/>
    <w:rsid w:val="00BD3FC1"/>
    <w:rsid w:val="00BE62FA"/>
    <w:rsid w:val="00C17ED7"/>
    <w:rsid w:val="00C41F15"/>
    <w:rsid w:val="00C70171"/>
    <w:rsid w:val="00C70A68"/>
    <w:rsid w:val="00C82E98"/>
    <w:rsid w:val="00CB17C9"/>
    <w:rsid w:val="00CC26C0"/>
    <w:rsid w:val="00CC72FF"/>
    <w:rsid w:val="00CC7C21"/>
    <w:rsid w:val="00CD0FE5"/>
    <w:rsid w:val="00CE0886"/>
    <w:rsid w:val="00CF2516"/>
    <w:rsid w:val="00CF6D63"/>
    <w:rsid w:val="00D23B28"/>
    <w:rsid w:val="00D46C8D"/>
    <w:rsid w:val="00D82825"/>
    <w:rsid w:val="00DA1359"/>
    <w:rsid w:val="00DE5444"/>
    <w:rsid w:val="00DF072F"/>
    <w:rsid w:val="00E32014"/>
    <w:rsid w:val="00E3727C"/>
    <w:rsid w:val="00EB58BA"/>
    <w:rsid w:val="00ED6555"/>
    <w:rsid w:val="00EF3125"/>
    <w:rsid w:val="00F04A6E"/>
    <w:rsid w:val="00F04DEF"/>
    <w:rsid w:val="00F31070"/>
    <w:rsid w:val="00F53F10"/>
    <w:rsid w:val="00F53F60"/>
    <w:rsid w:val="00F636F8"/>
    <w:rsid w:val="00FA2C8E"/>
    <w:rsid w:val="00FC1860"/>
    <w:rsid w:val="00FC7EA5"/>
    <w:rsid w:val="00FF78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TotalTime>
  <Pages>3</Pages>
  <Words>335</Words>
  <Characters>1846</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113</cp:revision>
  <dcterms:created xsi:type="dcterms:W3CDTF">2021-11-25T09:44:00Z</dcterms:created>
  <dcterms:modified xsi:type="dcterms:W3CDTF">2022-02-13T18:06:00Z</dcterms:modified>
</cp:coreProperties>
</file>