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94BF8A" w14:textId="5B8EFEFC" w:rsidR="00902D2F" w:rsidRPr="00263ED0" w:rsidRDefault="00263ED0" w:rsidP="00B41C02">
      <w:pPr>
        <w:jc w:val="both"/>
        <w:rPr>
          <w:rFonts w:ascii="Tahoma" w:hAnsi="Tahoma" w:cs="Tahoma"/>
          <w:sz w:val="48"/>
          <w:szCs w:val="48"/>
          <w:u w:val="single"/>
        </w:rPr>
      </w:pPr>
      <w:r>
        <w:rPr>
          <w:rFonts w:ascii="Tahoma" w:hAnsi="Tahoma" w:cs="Tahoma"/>
        </w:rPr>
        <w:t xml:space="preserve">                                      </w:t>
      </w:r>
      <w:r w:rsidRPr="00263ED0">
        <w:rPr>
          <w:rFonts w:ascii="Tahoma" w:hAnsi="Tahoma" w:cs="Tahoma"/>
          <w:sz w:val="48"/>
          <w:szCs w:val="48"/>
          <w:u w:val="single"/>
        </w:rPr>
        <w:t xml:space="preserve">EUROSTOXX 50 </w:t>
      </w:r>
    </w:p>
    <w:p w14:paraId="6A0F7EC2" w14:textId="1956B176" w:rsidR="00902D2F" w:rsidRPr="00041E45" w:rsidRDefault="00902D2F" w:rsidP="00B41C02">
      <w:pPr>
        <w:jc w:val="both"/>
        <w:rPr>
          <w:rFonts w:ascii="Tahoma" w:hAnsi="Tahoma" w:cs="Tahoma"/>
          <w:sz w:val="32"/>
          <w:szCs w:val="32"/>
          <w:u w:val="single"/>
        </w:rPr>
      </w:pPr>
      <w:r w:rsidRPr="00041E45">
        <w:rPr>
          <w:rFonts w:ascii="Tahoma" w:hAnsi="Tahoma" w:cs="Tahoma"/>
          <w:sz w:val="32"/>
          <w:szCs w:val="32"/>
          <w:u w:val="single"/>
        </w:rPr>
        <w:t>Week</w:t>
      </w:r>
    </w:p>
    <w:p w14:paraId="2862B446" w14:textId="7AD6CC79" w:rsidR="00902D2F" w:rsidRDefault="00E56678" w:rsidP="00B41C02">
      <w:pPr>
        <w:jc w:val="both"/>
        <w:rPr>
          <w:rFonts w:ascii="Tahoma" w:hAnsi="Tahoma" w:cs="Tahoma"/>
        </w:rPr>
      </w:pPr>
      <w:r>
        <w:rPr>
          <w:noProof/>
        </w:rPr>
        <w:drawing>
          <wp:inline distT="0" distB="0" distL="0" distR="0" wp14:anchorId="1D6F4248" wp14:editId="2A89B825">
            <wp:extent cx="5760239" cy="3291840"/>
            <wp:effectExtent l="0" t="0" r="0" b="381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2260" cy="3292995"/>
                    </a:xfrm>
                    <a:prstGeom prst="rect">
                      <a:avLst/>
                    </a:prstGeom>
                    <a:noFill/>
                    <a:ln>
                      <a:noFill/>
                    </a:ln>
                  </pic:spPr>
                </pic:pic>
              </a:graphicData>
            </a:graphic>
          </wp:inline>
        </w:drawing>
      </w:r>
    </w:p>
    <w:p w14:paraId="555DA04C" w14:textId="455DE3B7" w:rsidR="001705F4" w:rsidRDefault="00691BB3" w:rsidP="00263ED0">
      <w:pPr>
        <w:jc w:val="both"/>
        <w:rPr>
          <w:rFonts w:ascii="Tahoma" w:hAnsi="Tahoma" w:cs="Tahoma"/>
        </w:rPr>
      </w:pPr>
      <w:r>
        <w:rPr>
          <w:rFonts w:ascii="Tahoma" w:hAnsi="Tahoma" w:cs="Tahoma"/>
        </w:rPr>
        <w:t>Nouvelle semaine de baisse qui trouve son explication dans le prolongement de la guerre en Ukraine. Les NFP aux USA ont alimenté cette baisse avec un nombre de création d’emploi plus important que prévu</w:t>
      </w:r>
      <w:r w:rsidR="0030314D">
        <w:rPr>
          <w:rFonts w:ascii="Tahoma" w:hAnsi="Tahoma" w:cs="Tahoma"/>
        </w:rPr>
        <w:t>,</w:t>
      </w:r>
      <w:r>
        <w:rPr>
          <w:rFonts w:ascii="Tahoma" w:hAnsi="Tahoma" w:cs="Tahoma"/>
        </w:rPr>
        <w:t xml:space="preserve"> qui laisse envisager une action de la Fed plus agressive qu’anticipée jusqu’alors.</w:t>
      </w:r>
    </w:p>
    <w:p w14:paraId="67A61B6A" w14:textId="36A5FA35" w:rsidR="00691BB3" w:rsidRDefault="0032292D" w:rsidP="00263ED0">
      <w:pPr>
        <w:jc w:val="both"/>
        <w:rPr>
          <w:rFonts w:ascii="Tahoma" w:hAnsi="Tahoma" w:cs="Tahoma"/>
        </w:rPr>
      </w:pPr>
      <w:r>
        <w:rPr>
          <w:rFonts w:ascii="Tahoma" w:hAnsi="Tahoma" w:cs="Tahoma"/>
        </w:rPr>
        <w:t xml:space="preserve">La dernière longue bougie noire sans ombre basse laisse supposer que la baisse n’est pas terminée. Les prix ont cassé le support des 50% de retracement et se situe aujourd’hui </w:t>
      </w:r>
      <w:r w:rsidR="00222000">
        <w:rPr>
          <w:rFonts w:ascii="Tahoma" w:hAnsi="Tahoma" w:cs="Tahoma"/>
        </w:rPr>
        <w:t>légèrement</w:t>
      </w:r>
      <w:r>
        <w:rPr>
          <w:rFonts w:ascii="Tahoma" w:hAnsi="Tahoma" w:cs="Tahoma"/>
        </w:rPr>
        <w:t xml:space="preserve"> </w:t>
      </w:r>
      <w:r w:rsidR="00222000">
        <w:rPr>
          <w:rFonts w:ascii="Tahoma" w:hAnsi="Tahoma" w:cs="Tahoma"/>
        </w:rPr>
        <w:t>au-dessus</w:t>
      </w:r>
      <w:r>
        <w:rPr>
          <w:rFonts w:ascii="Tahoma" w:hAnsi="Tahoma" w:cs="Tahoma"/>
        </w:rPr>
        <w:t xml:space="preserve"> des 61.8% de 3</w:t>
      </w:r>
      <w:r w:rsidR="0018673C">
        <w:rPr>
          <w:rFonts w:ascii="Tahoma" w:hAnsi="Tahoma" w:cs="Tahoma"/>
        </w:rPr>
        <w:t>493</w:t>
      </w:r>
      <w:r>
        <w:rPr>
          <w:rFonts w:ascii="Tahoma" w:hAnsi="Tahoma" w:cs="Tahoma"/>
        </w:rPr>
        <w:t xml:space="preserve"> points.</w:t>
      </w:r>
      <w:r w:rsidR="000C7026">
        <w:rPr>
          <w:rFonts w:ascii="Tahoma" w:hAnsi="Tahoma" w:cs="Tahoma"/>
        </w:rPr>
        <w:t xml:space="preserve"> Une cassure de ce point avantagera un retour sur les 100% à 2920.</w:t>
      </w:r>
      <w:r>
        <w:rPr>
          <w:rFonts w:ascii="Tahoma" w:hAnsi="Tahoma" w:cs="Tahoma"/>
        </w:rPr>
        <w:t xml:space="preserve"> </w:t>
      </w:r>
    </w:p>
    <w:p w14:paraId="65B16AE1" w14:textId="33020998" w:rsidR="00583BC8" w:rsidRDefault="00460CE1" w:rsidP="00B41C02">
      <w:pPr>
        <w:jc w:val="both"/>
        <w:rPr>
          <w:rFonts w:ascii="Tahoma" w:hAnsi="Tahoma" w:cs="Tahoma"/>
        </w:rPr>
      </w:pPr>
      <w:r>
        <w:rPr>
          <w:rFonts w:ascii="Tahoma" w:hAnsi="Tahoma" w:cs="Tahoma"/>
        </w:rPr>
        <w:t xml:space="preserve">La partie basse du nuage a été testée. Dire que la </w:t>
      </w:r>
      <w:r w:rsidR="00222000">
        <w:rPr>
          <w:rFonts w:ascii="Tahoma" w:hAnsi="Tahoma" w:cs="Tahoma"/>
        </w:rPr>
        <w:t>clôture</w:t>
      </w:r>
      <w:r>
        <w:rPr>
          <w:rFonts w:ascii="Tahoma" w:hAnsi="Tahoma" w:cs="Tahoma"/>
        </w:rPr>
        <w:t xml:space="preserve"> </w:t>
      </w:r>
      <w:r w:rsidR="006E5295">
        <w:rPr>
          <w:rFonts w:ascii="Tahoma" w:hAnsi="Tahoma" w:cs="Tahoma"/>
        </w:rPr>
        <w:t xml:space="preserve">de 3556, </w:t>
      </w:r>
      <w:r>
        <w:rPr>
          <w:rFonts w:ascii="Tahoma" w:hAnsi="Tahoma" w:cs="Tahoma"/>
        </w:rPr>
        <w:t xml:space="preserve">sous </w:t>
      </w:r>
      <w:r w:rsidR="006E5295">
        <w:rPr>
          <w:rFonts w:ascii="Tahoma" w:hAnsi="Tahoma" w:cs="Tahoma"/>
        </w:rPr>
        <w:t>le</w:t>
      </w:r>
      <w:r>
        <w:rPr>
          <w:rFonts w:ascii="Tahoma" w:hAnsi="Tahoma" w:cs="Tahoma"/>
        </w:rPr>
        <w:t xml:space="preserve"> plat de SSB</w:t>
      </w:r>
      <w:r w:rsidR="006E5295">
        <w:rPr>
          <w:rFonts w:ascii="Tahoma" w:hAnsi="Tahoma" w:cs="Tahoma"/>
        </w:rPr>
        <w:t xml:space="preserve"> de </w:t>
      </w:r>
      <w:r w:rsidR="006E5295">
        <w:rPr>
          <w:rFonts w:ascii="Tahoma" w:hAnsi="Tahoma" w:cs="Tahoma"/>
        </w:rPr>
        <w:t>3586,</w:t>
      </w:r>
      <w:r>
        <w:rPr>
          <w:rFonts w:ascii="Tahoma" w:hAnsi="Tahoma" w:cs="Tahoma"/>
        </w:rPr>
        <w:t xml:space="preserve"> donne un signal baissier peut </w:t>
      </w:r>
      <w:r w:rsidR="00222000">
        <w:rPr>
          <w:rFonts w:ascii="Tahoma" w:hAnsi="Tahoma" w:cs="Tahoma"/>
        </w:rPr>
        <w:t>être</w:t>
      </w:r>
      <w:r>
        <w:rPr>
          <w:rFonts w:ascii="Tahoma" w:hAnsi="Tahoma" w:cs="Tahoma"/>
        </w:rPr>
        <w:t xml:space="preserve"> prématuré. Dans la situation actuelle, il est difficile de tenir des positions sur un </w:t>
      </w:r>
      <w:r w:rsidR="00222000">
        <w:rPr>
          <w:rFonts w:ascii="Tahoma" w:hAnsi="Tahoma" w:cs="Tahoma"/>
        </w:rPr>
        <w:t>Week</w:t>
      </w:r>
      <w:r>
        <w:rPr>
          <w:rFonts w:ascii="Tahoma" w:hAnsi="Tahoma" w:cs="Tahoma"/>
        </w:rPr>
        <w:t xml:space="preserve"> end. L’avenir est tellement incertain qu’il </w:t>
      </w:r>
      <w:r w:rsidR="00AF1494">
        <w:rPr>
          <w:rFonts w:ascii="Tahoma" w:hAnsi="Tahoma" w:cs="Tahoma"/>
        </w:rPr>
        <w:t>est plus prudent d’attendre l’ouverture du lundi matin</w:t>
      </w:r>
      <w:r w:rsidR="006E5295">
        <w:rPr>
          <w:rFonts w:ascii="Tahoma" w:hAnsi="Tahoma" w:cs="Tahoma"/>
        </w:rPr>
        <w:t xml:space="preserve"> pour prendre une décision.</w:t>
      </w:r>
    </w:p>
    <w:p w14:paraId="7AC4D2D2" w14:textId="248BBAC6" w:rsidR="00DF072F" w:rsidRDefault="00E86259" w:rsidP="00B41C02">
      <w:pPr>
        <w:jc w:val="both"/>
        <w:rPr>
          <w:rFonts w:ascii="Tahoma" w:hAnsi="Tahoma" w:cs="Tahoma"/>
        </w:rPr>
      </w:pPr>
      <w:r>
        <w:rPr>
          <w:rFonts w:ascii="Tahoma" w:hAnsi="Tahoma" w:cs="Tahoma"/>
        </w:rPr>
        <w:t>Seul un maintien des prix au cours de la semaine</w:t>
      </w:r>
      <w:r w:rsidR="00DD596A">
        <w:rPr>
          <w:rFonts w:ascii="Tahoma" w:hAnsi="Tahoma" w:cs="Tahoma"/>
        </w:rPr>
        <w:t xml:space="preserve"> sous 3707 continuera d’avantager la baisse. En cassure et maintien des cours sous</w:t>
      </w:r>
      <w:r>
        <w:rPr>
          <w:rFonts w:ascii="Tahoma" w:hAnsi="Tahoma" w:cs="Tahoma"/>
        </w:rPr>
        <w:t xml:space="preserve"> 3586 favorisera </w:t>
      </w:r>
      <w:r w:rsidR="00DD596A">
        <w:rPr>
          <w:rFonts w:ascii="Tahoma" w:hAnsi="Tahoma" w:cs="Tahoma"/>
        </w:rPr>
        <w:t>la poursuite du mouvement de</w:t>
      </w:r>
      <w:r>
        <w:rPr>
          <w:rFonts w:ascii="Tahoma" w:hAnsi="Tahoma" w:cs="Tahoma"/>
        </w:rPr>
        <w:t xml:space="preserve"> baisse avec comme cible la SSB de la LS qui se situera sur </w:t>
      </w:r>
      <w:r w:rsidR="00064656">
        <w:rPr>
          <w:rFonts w:ascii="Tahoma" w:hAnsi="Tahoma" w:cs="Tahoma"/>
        </w:rPr>
        <w:t>3074.</w:t>
      </w:r>
    </w:p>
    <w:p w14:paraId="457699BE" w14:textId="7462E826" w:rsidR="00064656" w:rsidRDefault="00064656" w:rsidP="00B41C02">
      <w:pPr>
        <w:jc w:val="both"/>
        <w:rPr>
          <w:rFonts w:ascii="Tahoma" w:hAnsi="Tahoma" w:cs="Tahoma"/>
        </w:rPr>
      </w:pPr>
      <w:r>
        <w:rPr>
          <w:rFonts w:ascii="Tahoma" w:hAnsi="Tahoma" w:cs="Tahoma"/>
        </w:rPr>
        <w:t>Le twist du nuage n’est pas encore validé. Un croisement sortira le marché de son environnement haussier pour le placer dans un premier temps dans un contexte de dérive latérale de moyen terme.</w:t>
      </w:r>
    </w:p>
    <w:p w14:paraId="1170E781" w14:textId="77777777" w:rsidR="00DD596A" w:rsidRDefault="00DD596A" w:rsidP="00B41C02">
      <w:pPr>
        <w:jc w:val="both"/>
        <w:rPr>
          <w:rFonts w:ascii="Tahoma" w:hAnsi="Tahoma" w:cs="Tahoma"/>
        </w:rPr>
      </w:pPr>
    </w:p>
    <w:p w14:paraId="374D1F17" w14:textId="24AE7426" w:rsidR="00583BC8" w:rsidRDefault="00583BC8" w:rsidP="00B41C02">
      <w:pPr>
        <w:jc w:val="both"/>
        <w:rPr>
          <w:rFonts w:ascii="Tahoma" w:hAnsi="Tahoma" w:cs="Tahoma"/>
        </w:rPr>
      </w:pPr>
    </w:p>
    <w:p w14:paraId="53AA9186" w14:textId="5A12989E" w:rsidR="00583BC8" w:rsidRPr="00041E45" w:rsidRDefault="00583BC8" w:rsidP="00B41C02">
      <w:pPr>
        <w:jc w:val="both"/>
        <w:rPr>
          <w:rFonts w:ascii="Tahoma" w:hAnsi="Tahoma" w:cs="Tahoma"/>
          <w:sz w:val="32"/>
          <w:szCs w:val="32"/>
          <w:u w:val="single"/>
        </w:rPr>
      </w:pPr>
      <w:r w:rsidRPr="00041E45">
        <w:rPr>
          <w:rFonts w:ascii="Tahoma" w:hAnsi="Tahoma" w:cs="Tahoma"/>
          <w:sz w:val="32"/>
          <w:szCs w:val="32"/>
          <w:u w:val="single"/>
        </w:rPr>
        <w:t>DAY</w:t>
      </w:r>
    </w:p>
    <w:p w14:paraId="1675B8DF" w14:textId="6F8657A5" w:rsidR="00583BC8" w:rsidRDefault="00352A83" w:rsidP="00B41C02">
      <w:pPr>
        <w:jc w:val="both"/>
        <w:rPr>
          <w:rFonts w:ascii="Tahoma" w:hAnsi="Tahoma" w:cs="Tahoma"/>
        </w:rPr>
      </w:pPr>
      <w:r>
        <w:rPr>
          <w:noProof/>
        </w:rPr>
        <w:lastRenderedPageBreak/>
        <w:drawing>
          <wp:inline distT="0" distB="0" distL="0" distR="0" wp14:anchorId="0FDD4317" wp14:editId="55F9A09E">
            <wp:extent cx="5760239" cy="3421380"/>
            <wp:effectExtent l="0" t="0" r="0" b="7620"/>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2414" cy="3422672"/>
                    </a:xfrm>
                    <a:prstGeom prst="rect">
                      <a:avLst/>
                    </a:prstGeom>
                    <a:noFill/>
                    <a:ln>
                      <a:noFill/>
                    </a:ln>
                  </pic:spPr>
                </pic:pic>
              </a:graphicData>
            </a:graphic>
          </wp:inline>
        </w:drawing>
      </w:r>
    </w:p>
    <w:p w14:paraId="28999410" w14:textId="26B73DB0" w:rsidR="00583BC8" w:rsidRDefault="00583BC8" w:rsidP="00B41C02">
      <w:pPr>
        <w:jc w:val="both"/>
        <w:rPr>
          <w:rFonts w:ascii="Tahoma" w:hAnsi="Tahoma" w:cs="Tahoma"/>
        </w:rPr>
      </w:pPr>
    </w:p>
    <w:p w14:paraId="517BE05C" w14:textId="77777777" w:rsidR="00A81FD9" w:rsidRDefault="00352DD9" w:rsidP="00263ED0">
      <w:pPr>
        <w:jc w:val="both"/>
        <w:rPr>
          <w:rFonts w:ascii="Tahoma" w:hAnsi="Tahoma" w:cs="Tahoma"/>
        </w:rPr>
      </w:pPr>
      <w:r>
        <w:rPr>
          <w:rFonts w:ascii="Tahoma" w:hAnsi="Tahoma" w:cs="Tahoma"/>
        </w:rPr>
        <w:t xml:space="preserve">La </w:t>
      </w:r>
      <w:r w:rsidR="00DE144F">
        <w:rPr>
          <w:rFonts w:ascii="Tahoma" w:hAnsi="Tahoma" w:cs="Tahoma"/>
        </w:rPr>
        <w:t>dernière chandelle sans ombre montre que sur la séance de vendredi seuls les vendeurs ont été actifs.</w:t>
      </w:r>
      <w:r w:rsidR="00A81FD9">
        <w:rPr>
          <w:rFonts w:ascii="Tahoma" w:hAnsi="Tahoma" w:cs="Tahoma"/>
        </w:rPr>
        <w:t xml:space="preserve"> </w:t>
      </w:r>
    </w:p>
    <w:p w14:paraId="710BA38C" w14:textId="6C542BE4" w:rsidR="00163C46" w:rsidRDefault="00A81FD9" w:rsidP="00263ED0">
      <w:pPr>
        <w:jc w:val="both"/>
        <w:rPr>
          <w:rFonts w:ascii="Tahoma" w:hAnsi="Tahoma" w:cs="Tahoma"/>
        </w:rPr>
      </w:pPr>
      <w:r>
        <w:rPr>
          <w:rFonts w:ascii="Tahoma" w:hAnsi="Tahoma" w:cs="Tahoma"/>
        </w:rPr>
        <w:t>Pour autant, la personnalité d’une bougie est fonction des chandelles qui la compose. La décomposition de cette bougie montre que la majeure partie de la journée les prix se sont stabilisés</w:t>
      </w:r>
      <w:r w:rsidR="003B7891">
        <w:rPr>
          <w:rFonts w:ascii="Tahoma" w:hAnsi="Tahoma" w:cs="Tahoma"/>
        </w:rPr>
        <w:t xml:space="preserve"> entre 3640 et 3600</w:t>
      </w:r>
      <w:r>
        <w:rPr>
          <w:rFonts w:ascii="Tahoma" w:hAnsi="Tahoma" w:cs="Tahoma"/>
        </w:rPr>
        <w:t xml:space="preserve">. Cela peut traduire </w:t>
      </w:r>
      <w:r w:rsidR="007B032F">
        <w:rPr>
          <w:rFonts w:ascii="Tahoma" w:hAnsi="Tahoma" w:cs="Tahoma"/>
        </w:rPr>
        <w:t>un</w:t>
      </w:r>
      <w:r>
        <w:rPr>
          <w:rFonts w:ascii="Tahoma" w:hAnsi="Tahoma" w:cs="Tahoma"/>
        </w:rPr>
        <w:t xml:space="preserve"> manque de conviction forte </w:t>
      </w:r>
      <w:r w:rsidR="007B032F">
        <w:rPr>
          <w:rFonts w:ascii="Tahoma" w:hAnsi="Tahoma" w:cs="Tahoma"/>
        </w:rPr>
        <w:t xml:space="preserve">de la part </w:t>
      </w:r>
      <w:r>
        <w:rPr>
          <w:rFonts w:ascii="Tahoma" w:hAnsi="Tahoma" w:cs="Tahoma"/>
        </w:rPr>
        <w:t>des vendeurs</w:t>
      </w:r>
      <w:r w:rsidR="005C6161">
        <w:rPr>
          <w:rFonts w:ascii="Tahoma" w:hAnsi="Tahoma" w:cs="Tahoma"/>
        </w:rPr>
        <w:t xml:space="preserve"> qui </w:t>
      </w:r>
      <w:r w:rsidR="003B7891">
        <w:rPr>
          <w:rFonts w:ascii="Tahoma" w:hAnsi="Tahoma" w:cs="Tahoma"/>
        </w:rPr>
        <w:t>restent à l’</w:t>
      </w:r>
      <w:r w:rsidR="0030314D">
        <w:rPr>
          <w:rFonts w:ascii="Tahoma" w:hAnsi="Tahoma" w:cs="Tahoma"/>
        </w:rPr>
        <w:t>affût</w:t>
      </w:r>
      <w:r w:rsidR="003B7891">
        <w:rPr>
          <w:rFonts w:ascii="Tahoma" w:hAnsi="Tahoma" w:cs="Tahoma"/>
        </w:rPr>
        <w:t xml:space="preserve"> de la moindre nouvelle qui pourrait les faire changer de sens.</w:t>
      </w:r>
    </w:p>
    <w:p w14:paraId="779D6963" w14:textId="242A8D2F" w:rsidR="00831A2F" w:rsidRDefault="00831A2F" w:rsidP="00263ED0">
      <w:pPr>
        <w:jc w:val="both"/>
        <w:rPr>
          <w:rFonts w:ascii="Tahoma" w:hAnsi="Tahoma" w:cs="Tahoma"/>
        </w:rPr>
      </w:pPr>
      <w:r>
        <w:rPr>
          <w:rFonts w:ascii="Tahoma" w:hAnsi="Tahoma" w:cs="Tahoma"/>
        </w:rPr>
        <w:t>Quoi qu’il en soit, l’environnement est baissier avec des prix et une LS qui évoluent sous leur nuage. La distance un peu trop grande entre cours et TS place l’indice dans un environnement sur vendu, propice à un rebond des prix si la situation géopolitique venait à s’améliorer.</w:t>
      </w:r>
    </w:p>
    <w:p w14:paraId="67B8B186" w14:textId="5B62AC76" w:rsidR="00467005" w:rsidRDefault="00467005" w:rsidP="00041E45">
      <w:pPr>
        <w:jc w:val="both"/>
        <w:rPr>
          <w:rFonts w:ascii="Tahoma" w:hAnsi="Tahoma" w:cs="Tahoma"/>
        </w:rPr>
      </w:pPr>
    </w:p>
    <w:p w14:paraId="737F1470" w14:textId="77777777" w:rsidR="00103EC9" w:rsidRDefault="00103EC9" w:rsidP="00041E45">
      <w:pPr>
        <w:jc w:val="both"/>
        <w:rPr>
          <w:rFonts w:ascii="Tahoma" w:hAnsi="Tahoma" w:cs="Tahoma"/>
        </w:rPr>
      </w:pPr>
    </w:p>
    <w:p w14:paraId="10BB9766" w14:textId="24F80EF6" w:rsidR="00723F77" w:rsidRPr="005B638A" w:rsidRDefault="00103EC9" w:rsidP="00041E45">
      <w:pPr>
        <w:jc w:val="both"/>
        <w:rPr>
          <w:rFonts w:ascii="Tahoma" w:hAnsi="Tahoma" w:cs="Tahoma"/>
          <w:i/>
          <w:iCs/>
          <w:sz w:val="24"/>
          <w:szCs w:val="24"/>
          <w:u w:val="single"/>
        </w:rPr>
      </w:pPr>
      <w:r w:rsidRPr="005B638A">
        <w:rPr>
          <w:rFonts w:ascii="Tahoma" w:hAnsi="Tahoma" w:cs="Tahoma"/>
          <w:i/>
          <w:iCs/>
          <w:sz w:val="24"/>
          <w:szCs w:val="24"/>
          <w:u w:val="single"/>
        </w:rPr>
        <w:t>Conclusion : Baissier sous 3707. Poursuite de la baisse en cassure et maintien sous 3586.</w:t>
      </w:r>
    </w:p>
    <w:p w14:paraId="655E9AC0" w14:textId="77777777" w:rsidR="00723F77" w:rsidRDefault="00723F77" w:rsidP="00041E45">
      <w:pPr>
        <w:jc w:val="both"/>
        <w:rPr>
          <w:rFonts w:ascii="Tahoma" w:hAnsi="Tahoma" w:cs="Tahoma"/>
        </w:rPr>
      </w:pPr>
    </w:p>
    <w:p w14:paraId="7ECBFD62" w14:textId="6D400A44" w:rsidR="00723F77" w:rsidRDefault="00723F77" w:rsidP="00041E45">
      <w:pPr>
        <w:jc w:val="both"/>
        <w:rPr>
          <w:rFonts w:ascii="Tahoma" w:hAnsi="Tahoma" w:cs="Tahoma"/>
        </w:rPr>
      </w:pPr>
    </w:p>
    <w:p w14:paraId="4CD6BD07" w14:textId="77777777" w:rsidR="00103EC9" w:rsidRDefault="00103EC9" w:rsidP="00041E45">
      <w:pPr>
        <w:jc w:val="both"/>
        <w:rPr>
          <w:rFonts w:ascii="Tahoma" w:hAnsi="Tahoma" w:cs="Tahoma"/>
        </w:rPr>
      </w:pPr>
    </w:p>
    <w:p w14:paraId="22FFB91E" w14:textId="77777777" w:rsidR="00723F77" w:rsidRPr="00723F77" w:rsidRDefault="00467005" w:rsidP="00103EC9">
      <w:pPr>
        <w:spacing w:after="0"/>
        <w:jc w:val="both"/>
        <w:rPr>
          <w:rFonts w:ascii="Arial" w:eastAsia="Calibri" w:hAnsi="Arial" w:cs="Arial"/>
          <w:b/>
          <w:i/>
          <w:sz w:val="24"/>
          <w:szCs w:val="24"/>
          <w:lang w:eastAsia="fr-FR"/>
        </w:rPr>
      </w:pPr>
      <w:r>
        <w:rPr>
          <w:rFonts w:ascii="Tahoma" w:hAnsi="Tahoma" w:cs="Tahoma"/>
        </w:rPr>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5087617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EFF84D3" w14:textId="76CC1C79" w:rsidR="00103EC9"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0B9788D1" w:rsid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4F687E8F" w14:textId="77777777" w:rsidR="00103EC9" w:rsidRPr="00723F77" w:rsidRDefault="00103EC9" w:rsidP="00723F77">
      <w:pPr>
        <w:spacing w:after="0" w:line="240" w:lineRule="auto"/>
        <w:jc w:val="both"/>
        <w:rPr>
          <w:rFonts w:ascii="Arial" w:eastAsia="Calibri" w:hAnsi="Arial" w:cs="Arial"/>
          <w:b/>
          <w:i/>
          <w:sz w:val="24"/>
          <w:szCs w:val="24"/>
          <w:lang w:eastAsia="fr-FR"/>
        </w:rPr>
      </w:pP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lastRenderedPageBreak/>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6EE0780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w:t>
      </w:r>
      <w:r w:rsidR="00103EC9">
        <w:rPr>
          <w:rFonts w:ascii="Arial" w:eastAsia="Calibri" w:hAnsi="Arial" w:cs="Arial"/>
          <w:b/>
          <w:i/>
          <w:sz w:val="24"/>
          <w:szCs w:val="24"/>
          <w:lang w:eastAsia="fr-FR"/>
        </w:rPr>
        <w:t xml:space="preserve">   </w:t>
      </w:r>
      <w:r w:rsidRPr="00723F77">
        <w:rPr>
          <w:rFonts w:ascii="Arial" w:eastAsia="Calibri" w:hAnsi="Arial" w:cs="Arial"/>
          <w:b/>
          <w:i/>
          <w:sz w:val="24"/>
          <w:szCs w:val="24"/>
          <w:lang w:eastAsia="fr-FR"/>
        </w:rPr>
        <w:t>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2580A"/>
    <w:rsid w:val="00041E45"/>
    <w:rsid w:val="000524C5"/>
    <w:rsid w:val="000556C3"/>
    <w:rsid w:val="00064656"/>
    <w:rsid w:val="000833FB"/>
    <w:rsid w:val="00092058"/>
    <w:rsid w:val="000B7DFC"/>
    <w:rsid w:val="000C7026"/>
    <w:rsid w:val="000D4ED3"/>
    <w:rsid w:val="001018AD"/>
    <w:rsid w:val="00103EC9"/>
    <w:rsid w:val="00105B4E"/>
    <w:rsid w:val="00134AFA"/>
    <w:rsid w:val="0014687D"/>
    <w:rsid w:val="0015581D"/>
    <w:rsid w:val="00163C46"/>
    <w:rsid w:val="001705F4"/>
    <w:rsid w:val="0018673C"/>
    <w:rsid w:val="00190995"/>
    <w:rsid w:val="001D474B"/>
    <w:rsid w:val="001F650A"/>
    <w:rsid w:val="002003AD"/>
    <w:rsid w:val="00222000"/>
    <w:rsid w:val="002421FE"/>
    <w:rsid w:val="00262E25"/>
    <w:rsid w:val="00263ED0"/>
    <w:rsid w:val="002A1F8E"/>
    <w:rsid w:val="002B5CB1"/>
    <w:rsid w:val="002C0A31"/>
    <w:rsid w:val="002F54B0"/>
    <w:rsid w:val="0030314D"/>
    <w:rsid w:val="0030643B"/>
    <w:rsid w:val="0032292D"/>
    <w:rsid w:val="00337611"/>
    <w:rsid w:val="00340FD9"/>
    <w:rsid w:val="00352A83"/>
    <w:rsid w:val="00352DD9"/>
    <w:rsid w:val="003B7891"/>
    <w:rsid w:val="0040171B"/>
    <w:rsid w:val="00460CE1"/>
    <w:rsid w:val="00467005"/>
    <w:rsid w:val="004A5154"/>
    <w:rsid w:val="00531928"/>
    <w:rsid w:val="005440A4"/>
    <w:rsid w:val="00546A5A"/>
    <w:rsid w:val="00566580"/>
    <w:rsid w:val="00567AF3"/>
    <w:rsid w:val="00583BC8"/>
    <w:rsid w:val="005B638A"/>
    <w:rsid w:val="005C6161"/>
    <w:rsid w:val="00654380"/>
    <w:rsid w:val="00691BB3"/>
    <w:rsid w:val="006E32BB"/>
    <w:rsid w:val="006E5295"/>
    <w:rsid w:val="00723F77"/>
    <w:rsid w:val="00744696"/>
    <w:rsid w:val="00772067"/>
    <w:rsid w:val="0077545D"/>
    <w:rsid w:val="007A0E6C"/>
    <w:rsid w:val="007B032F"/>
    <w:rsid w:val="007B661D"/>
    <w:rsid w:val="007D19FF"/>
    <w:rsid w:val="007D2085"/>
    <w:rsid w:val="00831A2F"/>
    <w:rsid w:val="0083454A"/>
    <w:rsid w:val="00837B38"/>
    <w:rsid w:val="00896554"/>
    <w:rsid w:val="008A7407"/>
    <w:rsid w:val="008F10C2"/>
    <w:rsid w:val="00902D2F"/>
    <w:rsid w:val="00961FDF"/>
    <w:rsid w:val="00983B7D"/>
    <w:rsid w:val="009A37C2"/>
    <w:rsid w:val="009A4D99"/>
    <w:rsid w:val="009F3AB8"/>
    <w:rsid w:val="00A11606"/>
    <w:rsid w:val="00A6401C"/>
    <w:rsid w:val="00A81AB7"/>
    <w:rsid w:val="00A81FD9"/>
    <w:rsid w:val="00AE7F3B"/>
    <w:rsid w:val="00AF1494"/>
    <w:rsid w:val="00B34260"/>
    <w:rsid w:val="00B41C02"/>
    <w:rsid w:val="00B50E38"/>
    <w:rsid w:val="00B554B8"/>
    <w:rsid w:val="00B64EE0"/>
    <w:rsid w:val="00BB0E32"/>
    <w:rsid w:val="00BB6D9D"/>
    <w:rsid w:val="00BC77A5"/>
    <w:rsid w:val="00BD3FC1"/>
    <w:rsid w:val="00C17ED7"/>
    <w:rsid w:val="00C41F15"/>
    <w:rsid w:val="00C70171"/>
    <w:rsid w:val="00C70A68"/>
    <w:rsid w:val="00C82E98"/>
    <w:rsid w:val="00CC7C21"/>
    <w:rsid w:val="00CE0886"/>
    <w:rsid w:val="00CF2516"/>
    <w:rsid w:val="00CF6D63"/>
    <w:rsid w:val="00D23B28"/>
    <w:rsid w:val="00D46C8D"/>
    <w:rsid w:val="00DD596A"/>
    <w:rsid w:val="00DE144F"/>
    <w:rsid w:val="00DE5444"/>
    <w:rsid w:val="00DF072F"/>
    <w:rsid w:val="00E32014"/>
    <w:rsid w:val="00E56678"/>
    <w:rsid w:val="00E86259"/>
    <w:rsid w:val="00EB58BA"/>
    <w:rsid w:val="00F04A6E"/>
    <w:rsid w:val="00F04DEF"/>
    <w:rsid w:val="00F31070"/>
    <w:rsid w:val="00F53F10"/>
    <w:rsid w:val="00F636F8"/>
    <w:rsid w:val="00FA2C8E"/>
    <w:rsid w:val="00FC1860"/>
    <w:rsid w:val="00FC7EA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570</TotalTime>
  <Pages>3</Pages>
  <Words>472</Words>
  <Characters>2598</Characters>
  <Application>Microsoft Office Word</Application>
  <DocSecurity>0</DocSecurity>
  <Lines>21</Lines>
  <Paragraphs>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92</cp:revision>
  <dcterms:created xsi:type="dcterms:W3CDTF">2021-11-25T09:44:00Z</dcterms:created>
  <dcterms:modified xsi:type="dcterms:W3CDTF">2022-03-06T13:45:00Z</dcterms:modified>
</cp:coreProperties>
</file>