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61B0D" w14:textId="35CB8C13" w:rsidR="00387183"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p>
    <w:p w14:paraId="5CC98573" w14:textId="7AB0A58F" w:rsidR="00387183" w:rsidRPr="00387183" w:rsidRDefault="00387183" w:rsidP="00B41C02">
      <w:pPr>
        <w:jc w:val="both"/>
        <w:rPr>
          <w:rFonts w:ascii="Tahoma" w:hAnsi="Tahoma" w:cs="Tahoma"/>
          <w:sz w:val="24"/>
          <w:szCs w:val="24"/>
          <w:u w:val="single"/>
        </w:rPr>
      </w:pPr>
      <w:r>
        <w:rPr>
          <w:rFonts w:ascii="Tahoma" w:hAnsi="Tahoma" w:cs="Tahoma"/>
          <w:sz w:val="24"/>
          <w:szCs w:val="24"/>
        </w:rPr>
        <w:t xml:space="preserve">            </w:t>
      </w:r>
      <w:r w:rsidRPr="00CA0E6B">
        <w:rPr>
          <w:rFonts w:ascii="Tahoma" w:hAnsi="Tahoma" w:cs="Tahoma"/>
          <w:sz w:val="24"/>
          <w:szCs w:val="24"/>
        </w:rPr>
        <w:t xml:space="preserve">  </w:t>
      </w:r>
      <w:r w:rsidRPr="00CA0E6B">
        <w:rPr>
          <w:rFonts w:ascii="Tahoma" w:hAnsi="Tahoma" w:cs="Tahoma"/>
          <w:color w:val="FF0000"/>
          <w:sz w:val="24"/>
          <w:szCs w:val="24"/>
        </w:rPr>
        <w:t xml:space="preserve"> </w:t>
      </w:r>
      <w:r w:rsidR="00CA0E6B" w:rsidRPr="00CA0E6B">
        <w:rPr>
          <w:rFonts w:ascii="Tahoma" w:hAnsi="Tahoma" w:cs="Tahoma"/>
          <w:color w:val="FF0000"/>
          <w:sz w:val="24"/>
          <w:szCs w:val="24"/>
        </w:rPr>
        <w:t xml:space="preserve">      </w:t>
      </w:r>
      <w:r w:rsidRPr="00387183">
        <w:rPr>
          <w:rFonts w:ascii="Tahoma" w:hAnsi="Tahoma" w:cs="Tahoma"/>
          <w:color w:val="FF0000"/>
          <w:sz w:val="24"/>
          <w:szCs w:val="24"/>
          <w:u w:val="single"/>
        </w:rPr>
        <w:t>Roll contrats Mars 22 sur Juin 22</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525FAF0" w:rsidR="00902D2F" w:rsidRDefault="006C55E4" w:rsidP="00B41C02">
      <w:pPr>
        <w:jc w:val="both"/>
        <w:rPr>
          <w:rFonts w:ascii="Tahoma" w:hAnsi="Tahoma" w:cs="Tahoma"/>
        </w:rPr>
      </w:pPr>
      <w:r>
        <w:rPr>
          <w:noProof/>
        </w:rPr>
        <w:drawing>
          <wp:inline distT="0" distB="0" distL="0" distR="0" wp14:anchorId="44E83E27" wp14:editId="265DD441">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81ED1F5" w14:textId="37BA1162" w:rsidR="006C55E4" w:rsidRDefault="00BB6D9D" w:rsidP="00BA27CE">
      <w:pPr>
        <w:spacing w:after="120"/>
        <w:jc w:val="both"/>
        <w:rPr>
          <w:rFonts w:ascii="Tahoma" w:hAnsi="Tahoma" w:cs="Tahoma"/>
        </w:rPr>
      </w:pPr>
      <w:r>
        <w:rPr>
          <w:rFonts w:ascii="Tahoma" w:hAnsi="Tahoma" w:cs="Tahoma"/>
        </w:rPr>
        <w:t xml:space="preserve"> </w:t>
      </w:r>
      <w:r w:rsidR="006C55E4">
        <w:rPr>
          <w:rFonts w:ascii="Tahoma" w:hAnsi="Tahoma" w:cs="Tahoma"/>
        </w:rPr>
        <w:t xml:space="preserve">Il est clair que le marché hésite entre hausse des taux liée à l’inflation et crise géopolitique vis-à-vis de la guerre menée par la Russie à l’encontre de l’Ukraine. </w:t>
      </w:r>
    </w:p>
    <w:p w14:paraId="374D1F17" w14:textId="760AC951" w:rsidR="00583BC8" w:rsidRDefault="006C55E4" w:rsidP="00BA27CE">
      <w:pPr>
        <w:spacing w:after="120"/>
        <w:jc w:val="both"/>
        <w:rPr>
          <w:rFonts w:ascii="Tahoma" w:hAnsi="Tahoma" w:cs="Tahoma"/>
        </w:rPr>
      </w:pPr>
      <w:r>
        <w:rPr>
          <w:rFonts w:ascii="Tahoma" w:hAnsi="Tahoma" w:cs="Tahoma"/>
        </w:rPr>
        <w:t xml:space="preserve">La recherche de la sécurité s’était traduite la semaine dernière par un long chandelier blanc revenant dans l’ancienne zone </w:t>
      </w:r>
      <w:r w:rsidR="00033173">
        <w:rPr>
          <w:rFonts w:ascii="Tahoma" w:hAnsi="Tahoma" w:cs="Tahoma"/>
        </w:rPr>
        <w:t>de consolidation horizontale. La baisse de la semaine s’</w:t>
      </w:r>
      <w:r w:rsidR="00CA0E6B">
        <w:rPr>
          <w:rFonts w:ascii="Tahoma" w:hAnsi="Tahoma" w:cs="Tahoma"/>
        </w:rPr>
        <w:t>est alimentée d</w:t>
      </w:r>
      <w:r w:rsidR="00033173">
        <w:rPr>
          <w:rFonts w:ascii="Tahoma" w:hAnsi="Tahoma" w:cs="Tahoma"/>
        </w:rPr>
        <w:t xml:space="preserve">es niveaux d’inflation en forte hausse qui laissent présager une action </w:t>
      </w:r>
      <w:r w:rsidR="0002659D">
        <w:rPr>
          <w:rFonts w:ascii="Tahoma" w:hAnsi="Tahoma" w:cs="Tahoma"/>
        </w:rPr>
        <w:t xml:space="preserve">rapide et </w:t>
      </w:r>
      <w:r w:rsidR="00716001">
        <w:rPr>
          <w:rFonts w:ascii="Tahoma" w:hAnsi="Tahoma" w:cs="Tahoma"/>
        </w:rPr>
        <w:t>agressive</w:t>
      </w:r>
      <w:r w:rsidR="00033173">
        <w:rPr>
          <w:rFonts w:ascii="Tahoma" w:hAnsi="Tahoma" w:cs="Tahoma"/>
        </w:rPr>
        <w:t xml:space="preserve"> de la part de la Reserve </w:t>
      </w:r>
      <w:r w:rsidR="00716001">
        <w:rPr>
          <w:rFonts w:ascii="Tahoma" w:hAnsi="Tahoma" w:cs="Tahoma"/>
        </w:rPr>
        <w:t>Fédérale</w:t>
      </w:r>
      <w:r w:rsidR="00033173">
        <w:rPr>
          <w:rFonts w:ascii="Tahoma" w:hAnsi="Tahoma" w:cs="Tahoma"/>
        </w:rPr>
        <w:t xml:space="preserve"> </w:t>
      </w:r>
      <w:r w:rsidR="00ED3497">
        <w:rPr>
          <w:rFonts w:ascii="Tahoma" w:hAnsi="Tahoma" w:cs="Tahoma"/>
        </w:rPr>
        <w:t xml:space="preserve">et </w:t>
      </w:r>
      <w:r w:rsidR="00CA0E6B">
        <w:rPr>
          <w:rFonts w:ascii="Tahoma" w:hAnsi="Tahoma" w:cs="Tahoma"/>
        </w:rPr>
        <w:t>par la suite</w:t>
      </w:r>
      <w:r w:rsidR="00ED3497">
        <w:rPr>
          <w:rFonts w:ascii="Tahoma" w:hAnsi="Tahoma" w:cs="Tahoma"/>
        </w:rPr>
        <w:t xml:space="preserve"> de la Banque Centrale Européenne</w:t>
      </w:r>
      <w:r w:rsidR="00BA27CE">
        <w:rPr>
          <w:rFonts w:ascii="Tahoma" w:hAnsi="Tahoma" w:cs="Tahoma"/>
        </w:rPr>
        <w:t>.</w:t>
      </w:r>
    </w:p>
    <w:p w14:paraId="476CFBA8" w14:textId="77777777" w:rsidR="00CA0E6B" w:rsidRDefault="00ED3497" w:rsidP="00ED3497">
      <w:pPr>
        <w:spacing w:after="0"/>
        <w:jc w:val="both"/>
        <w:rPr>
          <w:rFonts w:ascii="Tahoma" w:hAnsi="Tahoma" w:cs="Tahoma"/>
        </w:rPr>
      </w:pPr>
      <w:r>
        <w:rPr>
          <w:rFonts w:ascii="Tahoma" w:hAnsi="Tahoma" w:cs="Tahoma"/>
        </w:rPr>
        <w:t xml:space="preserve">Mais tout cela ne nous arrange pas pour l’analyse du contrat. </w:t>
      </w:r>
    </w:p>
    <w:p w14:paraId="6AABAA3A" w14:textId="77777777" w:rsidR="00CA0E6B" w:rsidRDefault="00CA0E6B" w:rsidP="00ED3497">
      <w:pPr>
        <w:spacing w:after="0"/>
        <w:jc w:val="both"/>
        <w:rPr>
          <w:rFonts w:ascii="Tahoma" w:hAnsi="Tahoma" w:cs="Tahoma"/>
        </w:rPr>
      </w:pPr>
    </w:p>
    <w:p w14:paraId="62FC5DFF" w14:textId="7A61101C" w:rsidR="00ED3497" w:rsidRDefault="00ED3497" w:rsidP="00ED3497">
      <w:pPr>
        <w:spacing w:after="0"/>
        <w:jc w:val="both"/>
        <w:rPr>
          <w:rFonts w:ascii="Tahoma" w:hAnsi="Tahoma" w:cs="Tahoma"/>
        </w:rPr>
      </w:pPr>
      <w:r>
        <w:rPr>
          <w:rFonts w:ascii="Tahoma" w:hAnsi="Tahoma" w:cs="Tahoma"/>
        </w:rPr>
        <w:t>Ce contexte où l’incertitude est dominante</w:t>
      </w:r>
      <w:r w:rsidR="007F202D">
        <w:rPr>
          <w:rFonts w:ascii="Tahoma" w:hAnsi="Tahoma" w:cs="Tahoma"/>
        </w:rPr>
        <w:t xml:space="preserve"> se traduit </w:t>
      </w:r>
      <w:r w:rsidR="00CA0E6B">
        <w:rPr>
          <w:rFonts w:ascii="Tahoma" w:hAnsi="Tahoma" w:cs="Tahoma"/>
        </w:rPr>
        <w:t xml:space="preserve">graphiquement </w:t>
      </w:r>
      <w:r w:rsidR="007F202D">
        <w:rPr>
          <w:rFonts w:ascii="Tahoma" w:hAnsi="Tahoma" w:cs="Tahoma"/>
        </w:rPr>
        <w:t xml:space="preserve">par de longues chandelles opposées. Le directionnel actuel ne permet pas d’avoir des convictions. La dernière baisse peut être contre balancée par une nouvelle hausse. La seule certitude que je peux avoir se base sur les bas récents de </w:t>
      </w:r>
      <w:r w:rsidR="00EB6CE9">
        <w:rPr>
          <w:rFonts w:ascii="Tahoma" w:hAnsi="Tahoma" w:cs="Tahoma"/>
        </w:rPr>
        <w:t xml:space="preserve">161.20 qui dessine un support en creux en pince et qui pourrait </w:t>
      </w:r>
      <w:r w:rsidR="00F60263">
        <w:rPr>
          <w:rFonts w:ascii="Tahoma" w:hAnsi="Tahoma" w:cs="Tahoma"/>
        </w:rPr>
        <w:t>inciter à des prises de profit de la part des vendeurs si ce point n’est pas invalidé dans un avenir proche.</w:t>
      </w:r>
    </w:p>
    <w:p w14:paraId="01A557C6" w14:textId="77777777" w:rsidR="00ED3497" w:rsidRDefault="00ED3497" w:rsidP="00ED3497">
      <w:pPr>
        <w:spacing w:after="0"/>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73DB8018" w:rsidR="00583BC8" w:rsidRDefault="003B0116" w:rsidP="00B41C02">
      <w:pPr>
        <w:jc w:val="both"/>
        <w:rPr>
          <w:rFonts w:ascii="Tahoma" w:hAnsi="Tahoma" w:cs="Tahoma"/>
        </w:rPr>
      </w:pPr>
      <w:r>
        <w:rPr>
          <w:noProof/>
        </w:rPr>
        <w:drawing>
          <wp:inline distT="0" distB="0" distL="0" distR="0" wp14:anchorId="613DED34" wp14:editId="4C0A1E1B">
            <wp:extent cx="5760720" cy="4320540"/>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00EE33F5" w:rsidR="00467005" w:rsidRDefault="003B0116" w:rsidP="00041E45">
      <w:pPr>
        <w:jc w:val="both"/>
        <w:rPr>
          <w:rFonts w:ascii="Tahoma" w:hAnsi="Tahoma" w:cs="Tahoma"/>
        </w:rPr>
      </w:pPr>
      <w:r>
        <w:rPr>
          <w:rFonts w:ascii="Tahoma" w:hAnsi="Tahoma" w:cs="Tahoma"/>
        </w:rPr>
        <w:t>Le court terme n’</w:t>
      </w:r>
      <w:r w:rsidR="00716001">
        <w:rPr>
          <w:rFonts w:ascii="Tahoma" w:hAnsi="Tahoma" w:cs="Tahoma"/>
        </w:rPr>
        <w:t>apporte</w:t>
      </w:r>
      <w:r>
        <w:rPr>
          <w:rFonts w:ascii="Tahoma" w:hAnsi="Tahoma" w:cs="Tahoma"/>
        </w:rPr>
        <w:t xml:space="preserve"> pas vraiment d’information </w:t>
      </w:r>
      <w:r w:rsidR="00716001">
        <w:rPr>
          <w:rFonts w:ascii="Tahoma" w:hAnsi="Tahoma" w:cs="Tahoma"/>
        </w:rPr>
        <w:t>concrète</w:t>
      </w:r>
      <w:r>
        <w:rPr>
          <w:rFonts w:ascii="Tahoma" w:hAnsi="Tahoma" w:cs="Tahoma"/>
        </w:rPr>
        <w:t xml:space="preserve">. Sur la dernière vague de baisse, la réduction progressive de la taille des chandelles noires montre un mouvement qui tend à </w:t>
      </w:r>
      <w:r w:rsidR="00900C00">
        <w:rPr>
          <w:rFonts w:ascii="Tahoma" w:hAnsi="Tahoma" w:cs="Tahoma"/>
        </w:rPr>
        <w:t>perdre de sa vigueur.</w:t>
      </w:r>
    </w:p>
    <w:p w14:paraId="338FECBE" w14:textId="735F65AB" w:rsidR="00900C00" w:rsidRDefault="00900C00" w:rsidP="00041E45">
      <w:pPr>
        <w:jc w:val="both"/>
        <w:rPr>
          <w:rFonts w:ascii="Tahoma" w:hAnsi="Tahoma" w:cs="Tahoma"/>
        </w:rPr>
      </w:pPr>
      <w:r>
        <w:rPr>
          <w:rFonts w:ascii="Tahoma" w:hAnsi="Tahoma" w:cs="Tahoma"/>
        </w:rPr>
        <w:t>Le plat de KS quant à lui indique que le marché n’est plus en mouvement</w:t>
      </w:r>
      <w:r w:rsidR="00A519C3">
        <w:rPr>
          <w:rFonts w:ascii="Tahoma" w:hAnsi="Tahoma" w:cs="Tahoma"/>
        </w:rPr>
        <w:t xml:space="preserve"> et l’</w:t>
      </w:r>
      <w:r w:rsidR="00716001">
        <w:rPr>
          <w:rFonts w:ascii="Tahoma" w:hAnsi="Tahoma" w:cs="Tahoma"/>
        </w:rPr>
        <w:t>écart</w:t>
      </w:r>
      <w:r w:rsidR="00A519C3">
        <w:rPr>
          <w:rFonts w:ascii="Tahoma" w:hAnsi="Tahoma" w:cs="Tahoma"/>
        </w:rPr>
        <w:t xml:space="preserve"> relativement important entre prix et TS confirme que le marché est survendu.</w:t>
      </w:r>
    </w:p>
    <w:p w14:paraId="671012CE" w14:textId="4859D0C2" w:rsidR="00900C00" w:rsidRDefault="00900C00" w:rsidP="00041E45">
      <w:pPr>
        <w:jc w:val="both"/>
        <w:rPr>
          <w:rFonts w:ascii="Tahoma" w:hAnsi="Tahoma" w:cs="Tahoma"/>
        </w:rPr>
      </w:pPr>
      <w:r>
        <w:rPr>
          <w:rFonts w:ascii="Tahoma" w:hAnsi="Tahoma" w:cs="Tahoma"/>
        </w:rPr>
        <w:t xml:space="preserve">Ces observations plaident pour un maintien des prix </w:t>
      </w:r>
      <w:r w:rsidR="00716001">
        <w:rPr>
          <w:rFonts w:ascii="Tahoma" w:hAnsi="Tahoma" w:cs="Tahoma"/>
        </w:rPr>
        <w:t>au-dessus</w:t>
      </w:r>
      <w:r>
        <w:rPr>
          <w:rFonts w:ascii="Tahoma" w:hAnsi="Tahoma" w:cs="Tahoma"/>
        </w:rPr>
        <w:t xml:space="preserve"> du support de 161.20.</w:t>
      </w:r>
    </w:p>
    <w:p w14:paraId="10BB9766" w14:textId="77777777" w:rsidR="00723F77" w:rsidRDefault="00723F77" w:rsidP="00041E45">
      <w:pPr>
        <w:jc w:val="both"/>
        <w:rPr>
          <w:rFonts w:ascii="Tahoma" w:hAnsi="Tahoma" w:cs="Tahoma"/>
        </w:rPr>
      </w:pPr>
    </w:p>
    <w:p w14:paraId="655E9AC0" w14:textId="55016BBC" w:rsidR="00723F77" w:rsidRPr="00716001" w:rsidRDefault="00716001" w:rsidP="00041E45">
      <w:pPr>
        <w:jc w:val="both"/>
        <w:rPr>
          <w:rFonts w:ascii="Tahoma" w:hAnsi="Tahoma" w:cs="Tahoma"/>
        </w:rPr>
      </w:pPr>
      <w:r w:rsidRPr="00716001">
        <w:rPr>
          <w:rFonts w:ascii="Tahoma" w:hAnsi="Tahoma" w:cs="Tahoma"/>
          <w:u w:val="single"/>
        </w:rPr>
        <w:t>CONCLUSION</w:t>
      </w:r>
      <w:r w:rsidRPr="00716001">
        <w:rPr>
          <w:rFonts w:ascii="Tahoma" w:hAnsi="Tahoma" w:cs="Tahoma"/>
        </w:rPr>
        <w:t> :</w:t>
      </w:r>
      <w:r w:rsidR="00387183">
        <w:rPr>
          <w:rFonts w:ascii="Tahoma" w:hAnsi="Tahoma" w:cs="Tahoma"/>
        </w:rPr>
        <w:t xml:space="preserve"> neutre à</w:t>
      </w:r>
      <w:r>
        <w:rPr>
          <w:rFonts w:ascii="Tahoma" w:hAnsi="Tahoma" w:cs="Tahoma"/>
        </w:rPr>
        <w:t xml:space="preserve"> </w:t>
      </w:r>
      <w:r w:rsidR="00387183">
        <w:rPr>
          <w:rFonts w:ascii="Tahoma" w:hAnsi="Tahoma" w:cs="Tahoma"/>
        </w:rPr>
        <w:t xml:space="preserve">haussier en maintien des prix </w:t>
      </w:r>
      <w:proofErr w:type="spellStart"/>
      <w:r w:rsidR="00387183">
        <w:rPr>
          <w:rFonts w:ascii="Tahoma" w:hAnsi="Tahoma" w:cs="Tahoma"/>
        </w:rPr>
        <w:t>au dessus</w:t>
      </w:r>
      <w:proofErr w:type="spellEnd"/>
      <w:r w:rsidR="00387183">
        <w:rPr>
          <w:rFonts w:ascii="Tahoma" w:hAnsi="Tahoma" w:cs="Tahoma"/>
        </w:rPr>
        <w:t xml:space="preserve"> de 161.20.</w:t>
      </w:r>
    </w:p>
    <w:p w14:paraId="01260563" w14:textId="77777777" w:rsidR="00E3727C" w:rsidRDefault="00E3727C"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lastRenderedPageBreak/>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5160"/>
    <w:rsid w:val="0002580A"/>
    <w:rsid w:val="0002659D"/>
    <w:rsid w:val="00033173"/>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87183"/>
    <w:rsid w:val="00397D3D"/>
    <w:rsid w:val="003B0116"/>
    <w:rsid w:val="0040171B"/>
    <w:rsid w:val="00467005"/>
    <w:rsid w:val="004A2D2D"/>
    <w:rsid w:val="004A5154"/>
    <w:rsid w:val="004F48EE"/>
    <w:rsid w:val="00531928"/>
    <w:rsid w:val="00535BCA"/>
    <w:rsid w:val="005440A4"/>
    <w:rsid w:val="00546A5A"/>
    <w:rsid w:val="00566580"/>
    <w:rsid w:val="00567AF3"/>
    <w:rsid w:val="00583BC8"/>
    <w:rsid w:val="00654380"/>
    <w:rsid w:val="00664BE1"/>
    <w:rsid w:val="006B055C"/>
    <w:rsid w:val="006C55E4"/>
    <w:rsid w:val="006E32BB"/>
    <w:rsid w:val="006E38E0"/>
    <w:rsid w:val="00710599"/>
    <w:rsid w:val="00716001"/>
    <w:rsid w:val="00723F77"/>
    <w:rsid w:val="00744696"/>
    <w:rsid w:val="00772067"/>
    <w:rsid w:val="0077545D"/>
    <w:rsid w:val="007A0A4B"/>
    <w:rsid w:val="007A0E6C"/>
    <w:rsid w:val="007B1237"/>
    <w:rsid w:val="007B661D"/>
    <w:rsid w:val="007D19FF"/>
    <w:rsid w:val="007D2085"/>
    <w:rsid w:val="007D4181"/>
    <w:rsid w:val="007F202D"/>
    <w:rsid w:val="0083454A"/>
    <w:rsid w:val="00837B38"/>
    <w:rsid w:val="00896554"/>
    <w:rsid w:val="008A7407"/>
    <w:rsid w:val="008F10C2"/>
    <w:rsid w:val="00900C00"/>
    <w:rsid w:val="00902D2F"/>
    <w:rsid w:val="00961FDF"/>
    <w:rsid w:val="00983B7D"/>
    <w:rsid w:val="009A37C2"/>
    <w:rsid w:val="009F3AB8"/>
    <w:rsid w:val="00A11606"/>
    <w:rsid w:val="00A519C3"/>
    <w:rsid w:val="00A6401C"/>
    <w:rsid w:val="00A81AB7"/>
    <w:rsid w:val="00AA522C"/>
    <w:rsid w:val="00AE7F3B"/>
    <w:rsid w:val="00B34260"/>
    <w:rsid w:val="00B41C02"/>
    <w:rsid w:val="00B4335A"/>
    <w:rsid w:val="00B50E38"/>
    <w:rsid w:val="00B554B8"/>
    <w:rsid w:val="00B64EE0"/>
    <w:rsid w:val="00BA27CE"/>
    <w:rsid w:val="00BB0E32"/>
    <w:rsid w:val="00BB6D9D"/>
    <w:rsid w:val="00BC77A5"/>
    <w:rsid w:val="00BD3FC1"/>
    <w:rsid w:val="00C17ED7"/>
    <w:rsid w:val="00C41F15"/>
    <w:rsid w:val="00C70171"/>
    <w:rsid w:val="00C70A68"/>
    <w:rsid w:val="00C82E98"/>
    <w:rsid w:val="00CA0E6B"/>
    <w:rsid w:val="00CB17C9"/>
    <w:rsid w:val="00CC72FF"/>
    <w:rsid w:val="00CC7C21"/>
    <w:rsid w:val="00CE0886"/>
    <w:rsid w:val="00CF2516"/>
    <w:rsid w:val="00CF6D63"/>
    <w:rsid w:val="00D23B28"/>
    <w:rsid w:val="00D46C8D"/>
    <w:rsid w:val="00DA1359"/>
    <w:rsid w:val="00DE5444"/>
    <w:rsid w:val="00DF072F"/>
    <w:rsid w:val="00E32014"/>
    <w:rsid w:val="00E3727C"/>
    <w:rsid w:val="00EB58BA"/>
    <w:rsid w:val="00EB6CE9"/>
    <w:rsid w:val="00ED3497"/>
    <w:rsid w:val="00F04A6E"/>
    <w:rsid w:val="00F04DEF"/>
    <w:rsid w:val="00F31070"/>
    <w:rsid w:val="00F53F10"/>
    <w:rsid w:val="00F60263"/>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3</Pages>
  <Words>386</Words>
  <Characters>2126</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103</cp:revision>
  <dcterms:created xsi:type="dcterms:W3CDTF">2021-11-25T09:44:00Z</dcterms:created>
  <dcterms:modified xsi:type="dcterms:W3CDTF">2022-03-13T14:26:00Z</dcterms:modified>
</cp:coreProperties>
</file>