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0B03E349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217087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  </w:t>
      </w:r>
    </w:p>
    <w:p w14:paraId="31B1B352" w14:textId="53767993" w:rsidR="0005563F" w:rsidRDefault="00264400">
      <w:pPr>
        <w:rPr>
          <w:sz w:val="32"/>
          <w:szCs w:val="32"/>
          <w:u w:val="single"/>
        </w:rPr>
      </w:pPr>
      <w:r w:rsidRPr="00D569E8">
        <w:rPr>
          <w:sz w:val="32"/>
          <w:szCs w:val="32"/>
          <w:u w:val="single"/>
        </w:rPr>
        <w:t>hebdomadaire</w:t>
      </w:r>
      <w:r>
        <w:rPr>
          <w:sz w:val="32"/>
          <w:szCs w:val="32"/>
          <w:u w:val="single"/>
        </w:rPr>
        <w:t xml:space="preserve"> </w:t>
      </w:r>
    </w:p>
    <w:p w14:paraId="793D23D1" w14:textId="3D5662F8" w:rsidR="00D569E8" w:rsidRDefault="000B34D9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361FA700" wp14:editId="339EFB54">
            <wp:extent cx="5760691" cy="377952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962" cy="3782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B55FE" w14:textId="106A7DC1" w:rsidR="00DA4851" w:rsidRDefault="004475E1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B34D9">
        <w:rPr>
          <w:rFonts w:ascii="Tahoma" w:hAnsi="Tahoma" w:cs="Tahoma"/>
        </w:rPr>
        <w:t>L’</w:t>
      </w:r>
      <w:r w:rsidR="00C111DA">
        <w:rPr>
          <w:rFonts w:ascii="Tahoma" w:hAnsi="Tahoma" w:cs="Tahoma"/>
        </w:rPr>
        <w:t>Ethereum</w:t>
      </w:r>
      <w:r w:rsidR="000B34D9">
        <w:rPr>
          <w:rFonts w:ascii="Tahoma" w:hAnsi="Tahoma" w:cs="Tahoma"/>
        </w:rPr>
        <w:t xml:space="preserve"> vient de retouch</w:t>
      </w:r>
      <w:r w:rsidR="004E3E1C">
        <w:rPr>
          <w:rFonts w:ascii="Tahoma" w:hAnsi="Tahoma" w:cs="Tahoma"/>
        </w:rPr>
        <w:t>er</w:t>
      </w:r>
      <w:r w:rsidR="000B34D9">
        <w:rPr>
          <w:rFonts w:ascii="Tahoma" w:hAnsi="Tahoma" w:cs="Tahoma"/>
        </w:rPr>
        <w:t xml:space="preserve"> le haut de la semaine dernière avant de corriger </w:t>
      </w:r>
      <w:r w:rsidR="00C111DA">
        <w:rPr>
          <w:rFonts w:ascii="Tahoma" w:hAnsi="Tahoma" w:cs="Tahoma"/>
        </w:rPr>
        <w:t>légèrement</w:t>
      </w:r>
      <w:r w:rsidR="000B34D9">
        <w:rPr>
          <w:rFonts w:ascii="Tahoma" w:hAnsi="Tahoma" w:cs="Tahoma"/>
        </w:rPr>
        <w:t>.</w:t>
      </w:r>
    </w:p>
    <w:p w14:paraId="0AD26F17" w14:textId="4962C9FA" w:rsidR="00C20DDA" w:rsidRDefault="00B02F08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Cette action des prix dessine une résistance mineur</w:t>
      </w:r>
      <w:r w:rsidR="00BF0BE3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sur 32</w:t>
      </w:r>
      <w:r w:rsidR="00AF469E">
        <w:rPr>
          <w:rFonts w:ascii="Tahoma" w:hAnsi="Tahoma" w:cs="Tahoma"/>
        </w:rPr>
        <w:t>40</w:t>
      </w:r>
      <w:r>
        <w:rPr>
          <w:rFonts w:ascii="Tahoma" w:hAnsi="Tahoma" w:cs="Tahoma"/>
        </w:rPr>
        <w:t xml:space="preserve"> sous la forme d’un sommet en pince.</w:t>
      </w:r>
      <w:r w:rsidR="00BF0BE3">
        <w:rPr>
          <w:rFonts w:ascii="Tahoma" w:hAnsi="Tahoma" w:cs="Tahoma"/>
        </w:rPr>
        <w:t xml:space="preserve"> Si cette résistance n’est pas dépassée rapidement, les haussiers ne voyant plus les prix progresser seront enclin</w:t>
      </w:r>
      <w:r w:rsidR="00AF469E">
        <w:rPr>
          <w:rFonts w:ascii="Tahoma" w:hAnsi="Tahoma" w:cs="Tahoma"/>
        </w:rPr>
        <w:t>s</w:t>
      </w:r>
      <w:r w:rsidR="00BF0BE3">
        <w:rPr>
          <w:rFonts w:ascii="Tahoma" w:hAnsi="Tahoma" w:cs="Tahoma"/>
        </w:rPr>
        <w:t xml:space="preserve"> à réaliser leurs gains, ce qui se traduira par une correction baissière.</w:t>
      </w:r>
    </w:p>
    <w:p w14:paraId="41BC939C" w14:textId="56CC13C0" w:rsidR="000B34D9" w:rsidRDefault="00C20DDA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Replacé dans son contexte, cet </w:t>
      </w:r>
      <w:r w:rsidR="00C111DA">
        <w:rPr>
          <w:rFonts w:ascii="Tahoma" w:hAnsi="Tahoma" w:cs="Tahoma"/>
        </w:rPr>
        <w:t>arrêt</w:t>
      </w:r>
      <w:r>
        <w:rPr>
          <w:rFonts w:ascii="Tahoma" w:hAnsi="Tahoma" w:cs="Tahoma"/>
        </w:rPr>
        <w:t xml:space="preserve"> de la progression des cours survient après la formation de trois chandeliers blancs.</w:t>
      </w:r>
      <w:r w:rsidR="002A7397">
        <w:rPr>
          <w:rFonts w:ascii="Tahoma" w:hAnsi="Tahoma" w:cs="Tahoma"/>
        </w:rPr>
        <w:t xml:space="preserve"> </w:t>
      </w:r>
      <w:r w:rsidR="00AF469E">
        <w:rPr>
          <w:rFonts w:ascii="Tahoma" w:hAnsi="Tahoma" w:cs="Tahoma"/>
        </w:rPr>
        <w:t>Mais c</w:t>
      </w:r>
      <w:r w:rsidR="002A7397">
        <w:rPr>
          <w:rFonts w:ascii="Tahoma" w:hAnsi="Tahoma" w:cs="Tahoma"/>
        </w:rPr>
        <w:t xml:space="preserve">ette </w:t>
      </w:r>
      <w:r w:rsidR="00C111DA">
        <w:rPr>
          <w:rFonts w:ascii="Tahoma" w:hAnsi="Tahoma" w:cs="Tahoma"/>
        </w:rPr>
        <w:t>succession</w:t>
      </w:r>
      <w:r w:rsidR="002A7397">
        <w:rPr>
          <w:rFonts w:ascii="Tahoma" w:hAnsi="Tahoma" w:cs="Tahoma"/>
        </w:rPr>
        <w:t xml:space="preserve"> de chandelles </w:t>
      </w:r>
      <w:r w:rsidR="00AF469E">
        <w:rPr>
          <w:rFonts w:ascii="Tahoma" w:hAnsi="Tahoma" w:cs="Tahoma"/>
        </w:rPr>
        <w:t xml:space="preserve">blanches </w:t>
      </w:r>
      <w:r w:rsidR="002A7397">
        <w:rPr>
          <w:rFonts w:ascii="Tahoma" w:hAnsi="Tahoma" w:cs="Tahoma"/>
        </w:rPr>
        <w:t xml:space="preserve">tend </w:t>
      </w:r>
      <w:r w:rsidR="00C111DA">
        <w:rPr>
          <w:rFonts w:ascii="Tahoma" w:hAnsi="Tahoma" w:cs="Tahoma"/>
        </w:rPr>
        <w:t>à</w:t>
      </w:r>
      <w:r w:rsidR="002A7397">
        <w:rPr>
          <w:rFonts w:ascii="Tahoma" w:hAnsi="Tahoma" w:cs="Tahoma"/>
        </w:rPr>
        <w:t xml:space="preserve"> </w:t>
      </w:r>
      <w:r w:rsidR="00C111DA">
        <w:rPr>
          <w:rFonts w:ascii="Tahoma" w:hAnsi="Tahoma" w:cs="Tahoma"/>
        </w:rPr>
        <w:t>assécher</w:t>
      </w:r>
      <w:r w:rsidR="002A7397">
        <w:rPr>
          <w:rFonts w:ascii="Tahoma" w:hAnsi="Tahoma" w:cs="Tahoma"/>
        </w:rPr>
        <w:t xml:space="preserve"> le courant acheteur. Nous ne sommes pas encore dans un environnement suracheté qui pourrait déboucher sur un retournement baissier mais il est possible que le marché trouve </w:t>
      </w:r>
      <w:r w:rsidR="00C111DA">
        <w:rPr>
          <w:rFonts w:ascii="Tahoma" w:hAnsi="Tahoma" w:cs="Tahoma"/>
        </w:rPr>
        <w:t>nécessaire</w:t>
      </w:r>
      <w:r w:rsidR="002A7397">
        <w:rPr>
          <w:rFonts w:ascii="Tahoma" w:hAnsi="Tahoma" w:cs="Tahoma"/>
        </w:rPr>
        <w:t xml:space="preserve"> de faire une pause avant de repartir à la hausse.</w:t>
      </w:r>
    </w:p>
    <w:p w14:paraId="1B415A82" w14:textId="6A7CAE7D" w:rsidR="00DA0FC8" w:rsidRDefault="00C111DA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Cet arrêt</w:t>
      </w:r>
      <w:r w:rsidR="00915A08">
        <w:rPr>
          <w:rFonts w:ascii="Tahoma" w:hAnsi="Tahoma" w:cs="Tahoma"/>
        </w:rPr>
        <w:t xml:space="preserve"> de la hausse trouve aussi pour explication le plat de KS </w:t>
      </w:r>
      <w:r w:rsidR="002A7397">
        <w:rPr>
          <w:rFonts w:ascii="Tahoma" w:hAnsi="Tahoma" w:cs="Tahoma"/>
        </w:rPr>
        <w:t xml:space="preserve"> </w:t>
      </w:r>
      <w:r w:rsidR="00915A08">
        <w:rPr>
          <w:rFonts w:ascii="Tahoma" w:hAnsi="Tahoma" w:cs="Tahoma"/>
        </w:rPr>
        <w:t>de 3063 qui doit servir de résistance ou de support</w:t>
      </w:r>
      <w:r w:rsidR="00AF469E">
        <w:rPr>
          <w:rFonts w:ascii="Tahoma" w:hAnsi="Tahoma" w:cs="Tahoma"/>
        </w:rPr>
        <w:t xml:space="preserve"> selon la position des prix</w:t>
      </w:r>
      <w:r w:rsidR="00915A08">
        <w:rPr>
          <w:rFonts w:ascii="Tahoma" w:hAnsi="Tahoma" w:cs="Tahoma"/>
        </w:rPr>
        <w:t>.</w:t>
      </w:r>
      <w:r w:rsidR="00DA0FC8">
        <w:rPr>
          <w:rFonts w:ascii="Tahoma" w:hAnsi="Tahoma" w:cs="Tahoma"/>
        </w:rPr>
        <w:t xml:space="preserve"> Ce plat restera au cours des prochaines semaines une zone d’attraction aussi bien dans un mouvement de hausse que lors d’une correction baissière.</w:t>
      </w:r>
    </w:p>
    <w:p w14:paraId="55A9FA62" w14:textId="3B484DF9" w:rsidR="002A7397" w:rsidRDefault="00F90DDF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une hausse sera envisagée en dépassement et en tenue des prix </w:t>
      </w:r>
      <w:r w:rsidR="00C111DA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3063. </w:t>
      </w:r>
      <w:r w:rsidR="00AF469E">
        <w:rPr>
          <w:rFonts w:ascii="Tahoma" w:hAnsi="Tahoma" w:cs="Tahoma"/>
        </w:rPr>
        <w:t>Mais e</w:t>
      </w:r>
      <w:r>
        <w:rPr>
          <w:rFonts w:ascii="Tahoma" w:hAnsi="Tahoma" w:cs="Tahoma"/>
        </w:rPr>
        <w:t>lle sera limitée au sommet récent de 4</w:t>
      </w:r>
      <w:r w:rsidR="00D7107A">
        <w:rPr>
          <w:rFonts w:ascii="Tahoma" w:hAnsi="Tahoma" w:cs="Tahoma"/>
        </w:rPr>
        <w:t>220</w:t>
      </w:r>
      <w:r>
        <w:rPr>
          <w:rFonts w:ascii="Tahoma" w:hAnsi="Tahoma" w:cs="Tahoma"/>
        </w:rPr>
        <w:t>.</w:t>
      </w:r>
      <w:r w:rsidR="002A7397">
        <w:rPr>
          <w:rFonts w:ascii="Tahoma" w:hAnsi="Tahoma" w:cs="Tahoma"/>
        </w:rPr>
        <w:t xml:space="preserve"> </w:t>
      </w:r>
      <w:r w:rsidR="00D7107A">
        <w:rPr>
          <w:rFonts w:ascii="Tahoma" w:hAnsi="Tahoma" w:cs="Tahoma"/>
        </w:rPr>
        <w:t>Sous 3063, la bordure haute du nuage renforcée par la TS offrira une zone de support entre 2686 et 2643.</w:t>
      </w:r>
    </w:p>
    <w:p w14:paraId="433A32E4" w14:textId="2ABF29E0" w:rsidR="00DA4851" w:rsidRDefault="00DA4851" w:rsidP="007F6E22">
      <w:pPr>
        <w:jc w:val="both"/>
        <w:rPr>
          <w:rFonts w:ascii="Tahoma" w:hAnsi="Tahoma" w:cs="Tahoma"/>
        </w:rPr>
      </w:pPr>
    </w:p>
    <w:p w14:paraId="02B63013" w14:textId="225EF723" w:rsidR="00DA4851" w:rsidRDefault="00DA4851" w:rsidP="007F6E22">
      <w:pPr>
        <w:jc w:val="both"/>
        <w:rPr>
          <w:rFonts w:ascii="Tahoma" w:hAnsi="Tahoma" w:cs="Tahoma"/>
        </w:rPr>
      </w:pPr>
    </w:p>
    <w:p w14:paraId="387A5E74" w14:textId="77777777" w:rsidR="00DA4851" w:rsidRDefault="00DA4851" w:rsidP="007F6E22">
      <w:pPr>
        <w:jc w:val="both"/>
        <w:rPr>
          <w:rFonts w:ascii="Tahoma" w:hAnsi="Tahoma" w:cs="Tahoma"/>
        </w:rPr>
      </w:pPr>
    </w:p>
    <w:p w14:paraId="303BAFF7" w14:textId="7A301C72" w:rsidR="00DA4851" w:rsidRPr="00DA4851" w:rsidRDefault="00DA4851" w:rsidP="007F6E22">
      <w:pPr>
        <w:jc w:val="both"/>
        <w:rPr>
          <w:sz w:val="32"/>
          <w:szCs w:val="32"/>
          <w:u w:val="single"/>
        </w:rPr>
      </w:pPr>
      <w:r w:rsidRPr="00DA4851">
        <w:rPr>
          <w:sz w:val="32"/>
          <w:szCs w:val="32"/>
          <w:u w:val="single"/>
        </w:rPr>
        <w:t>JOUR</w:t>
      </w:r>
      <w:r w:rsidR="003D1D17">
        <w:rPr>
          <w:sz w:val="32"/>
          <w:szCs w:val="32"/>
          <w:u w:val="single"/>
        </w:rPr>
        <w:t xml:space="preserve"> </w:t>
      </w:r>
    </w:p>
    <w:p w14:paraId="592A8BBD" w14:textId="0B6F4C73" w:rsidR="00DA4851" w:rsidRDefault="004722CB" w:rsidP="007F6E2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47D47E37" wp14:editId="6EACB2DB">
            <wp:extent cx="5760691" cy="333756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176" cy="3340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BB7B99" w14:textId="6991CD13" w:rsidR="00DA4851" w:rsidRDefault="00DA4851" w:rsidP="007F6E22">
      <w:pPr>
        <w:jc w:val="both"/>
        <w:rPr>
          <w:rFonts w:ascii="Tahoma" w:hAnsi="Tahoma" w:cs="Tahoma"/>
        </w:rPr>
      </w:pPr>
    </w:p>
    <w:p w14:paraId="31EEC55F" w14:textId="27350C1E" w:rsidR="00342AFF" w:rsidRDefault="004722CB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baisse a débuté sur la zone haute de</w:t>
      </w:r>
      <w:r w:rsidR="00AF469E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3240</w:t>
      </w:r>
      <w:r w:rsidR="00AF469E">
        <w:rPr>
          <w:rFonts w:ascii="Tahoma" w:hAnsi="Tahoma" w:cs="Tahoma"/>
        </w:rPr>
        <w:t xml:space="preserve"> points</w:t>
      </w:r>
      <w:r>
        <w:rPr>
          <w:rFonts w:ascii="Tahoma" w:hAnsi="Tahoma" w:cs="Tahoma"/>
        </w:rPr>
        <w:t xml:space="preserve">. Nous retrouvons sur cette zone la formation s’une structure de retournement en étoile du soir. Mais c’est la chandelle du 06 avril (J-5) sur le graphique qui donne des </w:t>
      </w:r>
      <w:r w:rsidR="00C111DA">
        <w:rPr>
          <w:rFonts w:ascii="Tahoma" w:hAnsi="Tahoma" w:cs="Tahoma"/>
        </w:rPr>
        <w:t>perspectives</w:t>
      </w:r>
      <w:r>
        <w:rPr>
          <w:rFonts w:ascii="Tahoma" w:hAnsi="Tahoma" w:cs="Tahoma"/>
        </w:rPr>
        <w:t xml:space="preserve"> négatives à la cryptomonnaie. Elle est noire et sans ombre, elle traduit une séance de baisse relativement soutenue de l’ouverture à la </w:t>
      </w:r>
      <w:r w:rsidR="00C111DA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. </w:t>
      </w:r>
      <w:r w:rsidR="00ED5474">
        <w:rPr>
          <w:rFonts w:ascii="Tahoma" w:hAnsi="Tahoma" w:cs="Tahoma"/>
        </w:rPr>
        <w:t xml:space="preserve">Pour autant, le rebond des cours sur 2900 peut indiquer que la structure de retournement a atteint son but, ainsi les prix pourront dorénavant </w:t>
      </w:r>
      <w:r w:rsidR="00C111DA">
        <w:rPr>
          <w:rFonts w:ascii="Tahoma" w:hAnsi="Tahoma" w:cs="Tahoma"/>
        </w:rPr>
        <w:t>évoluer</w:t>
      </w:r>
      <w:r w:rsidR="00ED5474">
        <w:rPr>
          <w:rFonts w:ascii="Tahoma" w:hAnsi="Tahoma" w:cs="Tahoma"/>
        </w:rPr>
        <w:t xml:space="preserve"> dans un autre contexte.</w:t>
      </w:r>
    </w:p>
    <w:p w14:paraId="28957F2B" w14:textId="269C356A" w:rsidR="005E26CA" w:rsidRDefault="00325FEA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Mais t</w:t>
      </w:r>
      <w:r w:rsidR="005E26CA">
        <w:rPr>
          <w:rFonts w:ascii="Tahoma" w:hAnsi="Tahoma" w:cs="Tahoma"/>
        </w:rPr>
        <w:t xml:space="preserve">ant que </w:t>
      </w:r>
      <w:r>
        <w:rPr>
          <w:rFonts w:ascii="Tahoma" w:hAnsi="Tahoma" w:cs="Tahoma"/>
        </w:rPr>
        <w:t xml:space="preserve">le </w:t>
      </w:r>
      <w:r w:rsidR="005E26CA">
        <w:rPr>
          <w:rFonts w:ascii="Tahoma" w:hAnsi="Tahoma" w:cs="Tahoma"/>
        </w:rPr>
        <w:t xml:space="preserve">point médian </w:t>
      </w:r>
      <w:r>
        <w:rPr>
          <w:rFonts w:ascii="Tahoma" w:hAnsi="Tahoma" w:cs="Tahoma"/>
        </w:rPr>
        <w:t xml:space="preserve">du long chandelier noir </w:t>
      </w:r>
      <w:r w:rsidR="005E26CA">
        <w:rPr>
          <w:rFonts w:ascii="Tahoma" w:hAnsi="Tahoma" w:cs="Tahoma"/>
        </w:rPr>
        <w:t xml:space="preserve">de 3016 ne sera pas dépassé en </w:t>
      </w:r>
      <w:r w:rsidR="00C111DA">
        <w:rPr>
          <w:rFonts w:ascii="Tahoma" w:hAnsi="Tahoma" w:cs="Tahoma"/>
        </w:rPr>
        <w:t>clôture</w:t>
      </w:r>
      <w:r w:rsidR="005E26CA">
        <w:rPr>
          <w:rFonts w:ascii="Tahoma" w:hAnsi="Tahoma" w:cs="Tahoma"/>
        </w:rPr>
        <w:t xml:space="preserve">, </w:t>
      </w:r>
      <w:r>
        <w:rPr>
          <w:rFonts w:ascii="Tahoma" w:hAnsi="Tahoma" w:cs="Tahoma"/>
        </w:rPr>
        <w:t>cette bougie</w:t>
      </w:r>
      <w:r w:rsidR="005E26CA">
        <w:rPr>
          <w:rFonts w:ascii="Tahoma" w:hAnsi="Tahoma" w:cs="Tahoma"/>
        </w:rPr>
        <w:t xml:space="preserve"> </w:t>
      </w:r>
      <w:r w:rsidR="00C111DA">
        <w:rPr>
          <w:rFonts w:ascii="Tahoma" w:hAnsi="Tahoma" w:cs="Tahoma"/>
        </w:rPr>
        <w:t>pèsera</w:t>
      </w:r>
      <w:r w:rsidR="005E26CA">
        <w:rPr>
          <w:rFonts w:ascii="Tahoma" w:hAnsi="Tahoma" w:cs="Tahoma"/>
        </w:rPr>
        <w:t xml:space="preserve"> sur les prix et n’incitera pas les haussiers à </w:t>
      </w:r>
      <w:r w:rsidR="004C7E5F">
        <w:rPr>
          <w:rFonts w:ascii="Tahoma" w:hAnsi="Tahoma" w:cs="Tahoma"/>
        </w:rPr>
        <w:t>ouvrir des</w:t>
      </w:r>
      <w:r w:rsidR="005E26CA">
        <w:rPr>
          <w:rFonts w:ascii="Tahoma" w:hAnsi="Tahoma" w:cs="Tahoma"/>
        </w:rPr>
        <w:t xml:space="preserve"> position</w:t>
      </w:r>
      <w:r w:rsidR="004C7E5F">
        <w:rPr>
          <w:rFonts w:ascii="Tahoma" w:hAnsi="Tahoma" w:cs="Tahoma"/>
        </w:rPr>
        <w:t>s longues</w:t>
      </w:r>
      <w:r w:rsidR="005E26CA">
        <w:rPr>
          <w:rFonts w:ascii="Tahoma" w:hAnsi="Tahoma" w:cs="Tahoma"/>
        </w:rPr>
        <w:t>.</w:t>
      </w:r>
    </w:p>
    <w:p w14:paraId="4A2A3BA8" w14:textId="4D82A55F" w:rsidR="00F65D50" w:rsidRDefault="00F65D50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le développement horizontal de la TS nous indique </w:t>
      </w:r>
      <w:r w:rsidR="00325FEA">
        <w:rPr>
          <w:rFonts w:ascii="Tahoma" w:hAnsi="Tahoma" w:cs="Tahoma"/>
        </w:rPr>
        <w:t xml:space="preserve">quant à lui </w:t>
      </w:r>
      <w:r>
        <w:rPr>
          <w:rFonts w:ascii="Tahoma" w:hAnsi="Tahoma" w:cs="Tahoma"/>
        </w:rPr>
        <w:t>que le marché n’est plus en mouvement. Hausses et baisses peuvent alors s’alterner sans pour autant donner une orientation directionnelle aux prix.</w:t>
      </w: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1FA3AA99" w14:textId="73B7747B" w:rsidR="008567DE" w:rsidRDefault="0022463F" w:rsidP="007F6E22">
      <w:pPr>
        <w:jc w:val="both"/>
        <w:rPr>
          <w:rFonts w:ascii="Tahoma" w:hAnsi="Tahoma" w:cs="Tahoma"/>
        </w:rPr>
      </w:pPr>
      <w:r w:rsidRPr="0022463F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 consolidation des prix autour du plat de KS de 3063</w:t>
      </w: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58AC6353" w:rsidR="00D45A59" w:rsidRDefault="00D45A59" w:rsidP="007F6E22">
      <w:pPr>
        <w:jc w:val="both"/>
        <w:rPr>
          <w:rFonts w:ascii="Tahoma" w:hAnsi="Tahoma" w:cs="Tahoma"/>
        </w:rPr>
      </w:pPr>
    </w:p>
    <w:p w14:paraId="686B51A0" w14:textId="7827453B" w:rsidR="00D45A59" w:rsidRDefault="00D45A59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lastRenderedPageBreak/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563F"/>
    <w:rsid w:val="00092058"/>
    <w:rsid w:val="000B34D9"/>
    <w:rsid w:val="00110ADF"/>
    <w:rsid w:val="00113C92"/>
    <w:rsid w:val="00140A73"/>
    <w:rsid w:val="00217087"/>
    <w:rsid w:val="002244B9"/>
    <w:rsid w:val="0022463F"/>
    <w:rsid w:val="00264400"/>
    <w:rsid w:val="002A5DC5"/>
    <w:rsid w:val="002A7397"/>
    <w:rsid w:val="002C4CD0"/>
    <w:rsid w:val="002E7AF3"/>
    <w:rsid w:val="00306FDE"/>
    <w:rsid w:val="00325FEA"/>
    <w:rsid w:val="00342AFF"/>
    <w:rsid w:val="00394D2F"/>
    <w:rsid w:val="003D1D17"/>
    <w:rsid w:val="004475E1"/>
    <w:rsid w:val="00447D4B"/>
    <w:rsid w:val="004722CB"/>
    <w:rsid w:val="004C7E5F"/>
    <w:rsid w:val="004E3E1C"/>
    <w:rsid w:val="005440A4"/>
    <w:rsid w:val="00563CB1"/>
    <w:rsid w:val="00572015"/>
    <w:rsid w:val="005E26CA"/>
    <w:rsid w:val="00760FE2"/>
    <w:rsid w:val="007923BF"/>
    <w:rsid w:val="007F6E22"/>
    <w:rsid w:val="0081635D"/>
    <w:rsid w:val="00826F39"/>
    <w:rsid w:val="008567DE"/>
    <w:rsid w:val="008F21BD"/>
    <w:rsid w:val="008F230F"/>
    <w:rsid w:val="008F7E7D"/>
    <w:rsid w:val="00915A08"/>
    <w:rsid w:val="0094194C"/>
    <w:rsid w:val="00960940"/>
    <w:rsid w:val="00967DAB"/>
    <w:rsid w:val="009B7066"/>
    <w:rsid w:val="00A04A9A"/>
    <w:rsid w:val="00A95C6D"/>
    <w:rsid w:val="00AF469E"/>
    <w:rsid w:val="00B02F08"/>
    <w:rsid w:val="00BB4354"/>
    <w:rsid w:val="00BF0BE3"/>
    <w:rsid w:val="00C07406"/>
    <w:rsid w:val="00C111DA"/>
    <w:rsid w:val="00C20DDA"/>
    <w:rsid w:val="00D45A59"/>
    <w:rsid w:val="00D569E8"/>
    <w:rsid w:val="00D7107A"/>
    <w:rsid w:val="00DA0FC8"/>
    <w:rsid w:val="00DA4851"/>
    <w:rsid w:val="00DE3513"/>
    <w:rsid w:val="00ED5474"/>
    <w:rsid w:val="00F17ECE"/>
    <w:rsid w:val="00F65D50"/>
    <w:rsid w:val="00F90DDF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3</Pages>
  <Words>498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61</cp:revision>
  <dcterms:created xsi:type="dcterms:W3CDTF">2021-12-13T10:46:00Z</dcterms:created>
  <dcterms:modified xsi:type="dcterms:W3CDTF">2022-04-10T13:39:00Z</dcterms:modified>
</cp:coreProperties>
</file>