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BF8A" w14:textId="5B8EFEFC" w:rsidR="00902D2F" w:rsidRPr="00263ED0" w:rsidRDefault="00263ED0" w:rsidP="00B41C02">
      <w:pPr>
        <w:jc w:val="both"/>
        <w:rPr>
          <w:rFonts w:ascii="Tahoma" w:hAnsi="Tahoma" w:cs="Tahoma"/>
          <w:sz w:val="48"/>
          <w:szCs w:val="48"/>
          <w:u w:val="single"/>
        </w:rPr>
      </w:pPr>
      <w:r>
        <w:rPr>
          <w:rFonts w:ascii="Tahoma" w:hAnsi="Tahoma" w:cs="Tahoma"/>
        </w:rPr>
        <w:t xml:space="preserve">                                      </w:t>
      </w:r>
      <w:r w:rsidRPr="00263ED0">
        <w:rPr>
          <w:rFonts w:ascii="Tahoma" w:hAnsi="Tahoma" w:cs="Tahoma"/>
          <w:sz w:val="48"/>
          <w:szCs w:val="48"/>
          <w:u w:val="single"/>
        </w:rPr>
        <w:t xml:space="preserve">EUROSTOXX 50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5494EBA3" w:rsidR="00902D2F" w:rsidRDefault="00CA66A6" w:rsidP="00B41C02">
      <w:pPr>
        <w:jc w:val="both"/>
        <w:rPr>
          <w:rFonts w:ascii="Tahoma" w:hAnsi="Tahoma" w:cs="Tahoma"/>
        </w:rPr>
      </w:pPr>
      <w:r>
        <w:rPr>
          <w:noProof/>
        </w:rPr>
        <w:drawing>
          <wp:inline distT="0" distB="0" distL="0" distR="0" wp14:anchorId="70209C29" wp14:editId="0533A186">
            <wp:extent cx="5760691" cy="3611880"/>
            <wp:effectExtent l="0" t="0" r="0" b="762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4356" cy="3614178"/>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555DA04C" w14:textId="0E685E7D" w:rsidR="001705F4" w:rsidRDefault="00BB6D9D" w:rsidP="00263ED0">
      <w:pPr>
        <w:jc w:val="both"/>
        <w:rPr>
          <w:rFonts w:ascii="Tahoma" w:hAnsi="Tahoma" w:cs="Tahoma"/>
        </w:rPr>
      </w:pPr>
      <w:r>
        <w:rPr>
          <w:rFonts w:ascii="Tahoma" w:hAnsi="Tahoma" w:cs="Tahoma"/>
        </w:rPr>
        <w:t xml:space="preserve"> </w:t>
      </w:r>
      <w:r w:rsidR="00041E45">
        <w:rPr>
          <w:rFonts w:ascii="Tahoma" w:hAnsi="Tahoma" w:cs="Tahoma"/>
        </w:rPr>
        <w:t>L</w:t>
      </w:r>
      <w:r w:rsidR="00CA66A6">
        <w:rPr>
          <w:rFonts w:ascii="Tahoma" w:hAnsi="Tahoma" w:cs="Tahoma"/>
        </w:rPr>
        <w:t>’alerte baissière évoquée la semaine dernière avec la formation d’une chandelle proche de l’étoile filante s’est matérialisée cette semaine par une bougie</w:t>
      </w:r>
      <w:r w:rsidR="006E32BB">
        <w:rPr>
          <w:rFonts w:ascii="Tahoma" w:hAnsi="Tahoma" w:cs="Tahoma"/>
        </w:rPr>
        <w:t xml:space="preserve"> </w:t>
      </w:r>
      <w:r w:rsidR="003C3644">
        <w:rPr>
          <w:rFonts w:ascii="Tahoma" w:hAnsi="Tahoma" w:cs="Tahoma"/>
        </w:rPr>
        <w:t>noire. Ce chandelier a les caractéristiques d’un avalement baisser mais sa taille limitée et sa mèche basse ne permet</w:t>
      </w:r>
      <w:r w:rsidR="00D1342C">
        <w:rPr>
          <w:rFonts w:ascii="Tahoma" w:hAnsi="Tahoma" w:cs="Tahoma"/>
        </w:rPr>
        <w:t>tent</w:t>
      </w:r>
      <w:r w:rsidR="003C3644">
        <w:rPr>
          <w:rFonts w:ascii="Tahoma" w:hAnsi="Tahoma" w:cs="Tahoma"/>
        </w:rPr>
        <w:t xml:space="preserve"> pas de penser que les vendeurs ont repris le contrôle des échanges.</w:t>
      </w:r>
    </w:p>
    <w:p w14:paraId="2E118316" w14:textId="5F8C020B" w:rsidR="0070684D" w:rsidRDefault="0070684D" w:rsidP="00B41C02">
      <w:pPr>
        <w:jc w:val="both"/>
        <w:rPr>
          <w:rFonts w:ascii="Tahoma" w:hAnsi="Tahoma" w:cs="Tahoma"/>
        </w:rPr>
      </w:pPr>
      <w:r>
        <w:rPr>
          <w:rFonts w:ascii="Tahoma" w:hAnsi="Tahoma" w:cs="Tahoma"/>
        </w:rPr>
        <w:t xml:space="preserve">La fusion des deux derniers chandeliers donne un doji avec de longues mèches. Ce type de doji nous indique que le marché a perdu </w:t>
      </w:r>
      <w:r w:rsidR="00F30EB6">
        <w:rPr>
          <w:rFonts w:ascii="Tahoma" w:hAnsi="Tahoma" w:cs="Tahoma"/>
        </w:rPr>
        <w:t xml:space="preserve">le sens de </w:t>
      </w:r>
      <w:r>
        <w:rPr>
          <w:rFonts w:ascii="Tahoma" w:hAnsi="Tahoma" w:cs="Tahoma"/>
        </w:rPr>
        <w:t>sa direction. Sur un sommet il est souvent annonciateur d’un retournement des prix. Mais ce n’est pas toujours le cas. Comme les doji se classent dans les chandelles d’indécision j’utiliserai le haut et le bas de ce chandelier fusionné en support et en résistance. Ainsi la rupture de 3789 avantagera la poursuite de la baisse et une correction de la dernière vag</w:t>
      </w:r>
      <w:r w:rsidR="000465CD">
        <w:rPr>
          <w:rFonts w:ascii="Tahoma" w:hAnsi="Tahoma" w:cs="Tahoma"/>
        </w:rPr>
        <w:t xml:space="preserve">ue de hausse. Alors que le dépassement de </w:t>
      </w:r>
      <w:r>
        <w:rPr>
          <w:rFonts w:ascii="Tahoma" w:hAnsi="Tahoma" w:cs="Tahoma"/>
        </w:rPr>
        <w:t>4024</w:t>
      </w:r>
      <w:r w:rsidR="000465CD">
        <w:rPr>
          <w:rFonts w:ascii="Tahoma" w:hAnsi="Tahoma" w:cs="Tahoma"/>
        </w:rPr>
        <w:t xml:space="preserve"> favorisera la reprise de la hausse vers la borne haute du nuage de 4082 puis en dépassement vers le sommet de 4415.</w:t>
      </w:r>
    </w:p>
    <w:p w14:paraId="17D6EDF1" w14:textId="77777777" w:rsidR="000465CD" w:rsidRDefault="000465CD" w:rsidP="00B41C02">
      <w:pPr>
        <w:jc w:val="both"/>
        <w:rPr>
          <w:rFonts w:ascii="Tahoma" w:hAnsi="Tahoma" w:cs="Tahoma"/>
        </w:rPr>
      </w:pPr>
    </w:p>
    <w:p w14:paraId="7AC4D2D2" w14:textId="6BD8CD94" w:rsidR="00DF072F" w:rsidRDefault="00DF072F" w:rsidP="00B41C02">
      <w:pPr>
        <w:jc w:val="both"/>
        <w:rPr>
          <w:rFonts w:ascii="Tahoma" w:hAnsi="Tahoma" w:cs="Tahoma"/>
        </w:rPr>
      </w:pPr>
    </w:p>
    <w:p w14:paraId="374D1F17" w14:textId="24AE7426" w:rsidR="00583BC8" w:rsidRDefault="00583BC8"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1675B8DF" w14:textId="382B2BB3" w:rsidR="00583BC8" w:rsidRDefault="00A5745D" w:rsidP="00B41C02">
      <w:pPr>
        <w:jc w:val="both"/>
        <w:rPr>
          <w:rFonts w:ascii="Tahoma" w:hAnsi="Tahoma" w:cs="Tahoma"/>
        </w:rPr>
      </w:pPr>
      <w:r>
        <w:rPr>
          <w:noProof/>
        </w:rPr>
        <w:lastRenderedPageBreak/>
        <w:drawing>
          <wp:inline distT="0" distB="0" distL="0" distR="0" wp14:anchorId="6B3851C9" wp14:editId="60E7A6AB">
            <wp:extent cx="5760691" cy="3543300"/>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8604" cy="3548167"/>
                    </a:xfrm>
                    <a:prstGeom prst="rect">
                      <a:avLst/>
                    </a:prstGeom>
                    <a:noFill/>
                    <a:ln>
                      <a:noFill/>
                    </a:ln>
                  </pic:spPr>
                </pic:pic>
              </a:graphicData>
            </a:graphic>
          </wp:inline>
        </w:drawing>
      </w:r>
    </w:p>
    <w:p w14:paraId="28999410" w14:textId="26B73DB0" w:rsidR="00583BC8" w:rsidRDefault="00583BC8" w:rsidP="00B41C02">
      <w:pPr>
        <w:jc w:val="both"/>
        <w:rPr>
          <w:rFonts w:ascii="Tahoma" w:hAnsi="Tahoma" w:cs="Tahoma"/>
        </w:rPr>
      </w:pPr>
    </w:p>
    <w:p w14:paraId="710BA38C" w14:textId="7F07C692" w:rsidR="00163C46" w:rsidRDefault="00A5745D" w:rsidP="00263ED0">
      <w:pPr>
        <w:jc w:val="both"/>
        <w:rPr>
          <w:rFonts w:ascii="Tahoma" w:hAnsi="Tahoma" w:cs="Tahoma"/>
        </w:rPr>
      </w:pPr>
      <w:r>
        <w:rPr>
          <w:rFonts w:ascii="Tahoma" w:hAnsi="Tahoma" w:cs="Tahoma"/>
        </w:rPr>
        <w:t xml:space="preserve">Il est clair ici que le nuage a bloqué la progression des prix. Ainsi, l’indice évolue toujours dans un environnement baissier </w:t>
      </w:r>
      <w:r w:rsidR="00C6678F">
        <w:rPr>
          <w:rFonts w:ascii="Tahoma" w:hAnsi="Tahoma" w:cs="Tahoma"/>
        </w:rPr>
        <w:t>qui</w:t>
      </w:r>
      <w:r>
        <w:rPr>
          <w:rFonts w:ascii="Tahoma" w:hAnsi="Tahoma" w:cs="Tahoma"/>
        </w:rPr>
        <w:t xml:space="preserve"> continue d’avantager les vente</w:t>
      </w:r>
      <w:r w:rsidR="00FA74BC">
        <w:rPr>
          <w:rFonts w:ascii="Tahoma" w:hAnsi="Tahoma" w:cs="Tahoma"/>
        </w:rPr>
        <w:t>s</w:t>
      </w:r>
      <w:r>
        <w:rPr>
          <w:rFonts w:ascii="Tahoma" w:hAnsi="Tahoma" w:cs="Tahoma"/>
        </w:rPr>
        <w:t xml:space="preserve"> sur cette unité de temps.</w:t>
      </w:r>
    </w:p>
    <w:p w14:paraId="66524AD9" w14:textId="23114522" w:rsidR="00FA74BC" w:rsidRDefault="00FA74BC" w:rsidP="00263ED0">
      <w:pPr>
        <w:jc w:val="both"/>
        <w:rPr>
          <w:rFonts w:ascii="Tahoma" w:hAnsi="Tahoma" w:cs="Tahoma"/>
        </w:rPr>
      </w:pPr>
      <w:r>
        <w:rPr>
          <w:rFonts w:ascii="Tahoma" w:hAnsi="Tahoma" w:cs="Tahoma"/>
        </w:rPr>
        <w:t xml:space="preserve">Sans un rebond déterminé des prix amenant l’indice </w:t>
      </w:r>
      <w:r w:rsidR="00581842">
        <w:rPr>
          <w:rFonts w:ascii="Tahoma" w:hAnsi="Tahoma" w:cs="Tahoma"/>
        </w:rPr>
        <w:t>au-dessus</w:t>
      </w:r>
      <w:r>
        <w:rPr>
          <w:rFonts w:ascii="Tahoma" w:hAnsi="Tahoma" w:cs="Tahoma"/>
        </w:rPr>
        <w:t xml:space="preserve"> du plat de SSB de 3891, les cours </w:t>
      </w:r>
      <w:r w:rsidR="00581842">
        <w:rPr>
          <w:rFonts w:ascii="Tahoma" w:hAnsi="Tahoma" w:cs="Tahoma"/>
        </w:rPr>
        <w:t>devraient</w:t>
      </w:r>
      <w:r>
        <w:rPr>
          <w:rFonts w:ascii="Tahoma" w:hAnsi="Tahoma" w:cs="Tahoma"/>
        </w:rPr>
        <w:t xml:space="preserve"> </w:t>
      </w:r>
      <w:r w:rsidR="00581842">
        <w:rPr>
          <w:rFonts w:ascii="Tahoma" w:hAnsi="Tahoma" w:cs="Tahoma"/>
        </w:rPr>
        <w:t>pénétrer</w:t>
      </w:r>
      <w:r>
        <w:rPr>
          <w:rFonts w:ascii="Tahoma" w:hAnsi="Tahoma" w:cs="Tahoma"/>
        </w:rPr>
        <w:t xml:space="preserve"> le nuage </w:t>
      </w:r>
      <w:r w:rsidR="00C6678F">
        <w:rPr>
          <w:rFonts w:ascii="Tahoma" w:hAnsi="Tahoma" w:cs="Tahoma"/>
        </w:rPr>
        <w:t>dans</w:t>
      </w:r>
      <w:r>
        <w:rPr>
          <w:rFonts w:ascii="Tahoma" w:hAnsi="Tahoma" w:cs="Tahoma"/>
        </w:rPr>
        <w:t xml:space="preserve"> un mouvement sans tendance.  La dernière chandelle blanche et l’orientation des </w:t>
      </w:r>
      <w:r w:rsidR="00581842">
        <w:rPr>
          <w:rFonts w:ascii="Tahoma" w:hAnsi="Tahoma" w:cs="Tahoma"/>
        </w:rPr>
        <w:t>différentes</w:t>
      </w:r>
      <w:r>
        <w:rPr>
          <w:rFonts w:ascii="Tahoma" w:hAnsi="Tahoma" w:cs="Tahoma"/>
        </w:rPr>
        <w:t xml:space="preserve"> courbes Ichimoku, plaident en cette faveur.</w:t>
      </w:r>
    </w:p>
    <w:p w14:paraId="7BCCF6F4" w14:textId="77777777" w:rsidR="00A5745D" w:rsidRDefault="00A5745D" w:rsidP="00263ED0">
      <w:pPr>
        <w:jc w:val="both"/>
        <w:rPr>
          <w:rFonts w:ascii="Tahoma" w:hAnsi="Tahoma" w:cs="Tahoma"/>
        </w:rPr>
      </w:pPr>
    </w:p>
    <w:p w14:paraId="67B8B186" w14:textId="0A1524F4" w:rsidR="00467005" w:rsidRDefault="00A4280D" w:rsidP="00041E45">
      <w:pPr>
        <w:jc w:val="both"/>
        <w:rPr>
          <w:rFonts w:ascii="Tahoma" w:hAnsi="Tahoma" w:cs="Tahoma"/>
        </w:rPr>
      </w:pPr>
      <w:r w:rsidRPr="00A4280D">
        <w:rPr>
          <w:rFonts w:ascii="Tahoma" w:hAnsi="Tahoma" w:cs="Tahoma"/>
          <w:u w:val="single"/>
        </w:rPr>
        <w:t>CONCLUSION</w:t>
      </w:r>
      <w:r>
        <w:rPr>
          <w:rFonts w:ascii="Tahoma" w:hAnsi="Tahoma" w:cs="Tahoma"/>
        </w:rPr>
        <w:t> : Neutralité entre 3789 et 4024.</w:t>
      </w:r>
    </w:p>
    <w:p w14:paraId="10BB9766" w14:textId="77777777" w:rsidR="00723F77" w:rsidRDefault="00723F77" w:rsidP="00041E45">
      <w:pPr>
        <w:jc w:val="both"/>
        <w:rPr>
          <w:rFonts w:ascii="Tahoma" w:hAnsi="Tahoma" w:cs="Tahoma"/>
        </w:rPr>
      </w:pPr>
    </w:p>
    <w:p w14:paraId="655E9AC0" w14:textId="77777777" w:rsidR="00723F77" w:rsidRDefault="00723F77" w:rsidP="00041E45">
      <w:pPr>
        <w:jc w:val="both"/>
        <w:rPr>
          <w:rFonts w:ascii="Tahoma" w:hAnsi="Tahoma" w:cs="Tahoma"/>
        </w:rPr>
      </w:pPr>
    </w:p>
    <w:p w14:paraId="7ECBFD62" w14:textId="77777777" w:rsidR="00723F77" w:rsidRDefault="00723F77"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lastRenderedPageBreak/>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465CD"/>
    <w:rsid w:val="000524C5"/>
    <w:rsid w:val="000556C3"/>
    <w:rsid w:val="000833FB"/>
    <w:rsid w:val="00092058"/>
    <w:rsid w:val="000B7DFC"/>
    <w:rsid w:val="000D4ED3"/>
    <w:rsid w:val="001018AD"/>
    <w:rsid w:val="00105B4E"/>
    <w:rsid w:val="00134AFA"/>
    <w:rsid w:val="0014687D"/>
    <w:rsid w:val="0015581D"/>
    <w:rsid w:val="00163C46"/>
    <w:rsid w:val="001705F4"/>
    <w:rsid w:val="00190995"/>
    <w:rsid w:val="001D474B"/>
    <w:rsid w:val="001F650A"/>
    <w:rsid w:val="002003AD"/>
    <w:rsid w:val="002421FE"/>
    <w:rsid w:val="00262E25"/>
    <w:rsid w:val="00263ED0"/>
    <w:rsid w:val="002A1F8E"/>
    <w:rsid w:val="002B5CB1"/>
    <w:rsid w:val="002C0A31"/>
    <w:rsid w:val="002F54B0"/>
    <w:rsid w:val="0030643B"/>
    <w:rsid w:val="00337611"/>
    <w:rsid w:val="00340FD9"/>
    <w:rsid w:val="00352DD9"/>
    <w:rsid w:val="003C3644"/>
    <w:rsid w:val="0040171B"/>
    <w:rsid w:val="00467005"/>
    <w:rsid w:val="004A5154"/>
    <w:rsid w:val="00531928"/>
    <w:rsid w:val="005440A4"/>
    <w:rsid w:val="00546A5A"/>
    <w:rsid w:val="00566580"/>
    <w:rsid w:val="00567AF3"/>
    <w:rsid w:val="00581842"/>
    <w:rsid w:val="00583BC8"/>
    <w:rsid w:val="00654380"/>
    <w:rsid w:val="006E32BB"/>
    <w:rsid w:val="0070684D"/>
    <w:rsid w:val="00723F77"/>
    <w:rsid w:val="00744696"/>
    <w:rsid w:val="00772067"/>
    <w:rsid w:val="0077545D"/>
    <w:rsid w:val="007A0E6C"/>
    <w:rsid w:val="007B661D"/>
    <w:rsid w:val="007D19FF"/>
    <w:rsid w:val="007D2085"/>
    <w:rsid w:val="0083454A"/>
    <w:rsid w:val="00837B38"/>
    <w:rsid w:val="00896554"/>
    <w:rsid w:val="008A7407"/>
    <w:rsid w:val="008F10C2"/>
    <w:rsid w:val="00902D2F"/>
    <w:rsid w:val="00961FDF"/>
    <w:rsid w:val="00983B7D"/>
    <w:rsid w:val="009A37C2"/>
    <w:rsid w:val="009F3AB8"/>
    <w:rsid w:val="00A11606"/>
    <w:rsid w:val="00A4280D"/>
    <w:rsid w:val="00A5745D"/>
    <w:rsid w:val="00A6401C"/>
    <w:rsid w:val="00A81AB7"/>
    <w:rsid w:val="00AE7F3B"/>
    <w:rsid w:val="00B34260"/>
    <w:rsid w:val="00B41C02"/>
    <w:rsid w:val="00B50E38"/>
    <w:rsid w:val="00B554B8"/>
    <w:rsid w:val="00B64EE0"/>
    <w:rsid w:val="00BB0E32"/>
    <w:rsid w:val="00BB6D9D"/>
    <w:rsid w:val="00BC77A5"/>
    <w:rsid w:val="00BD3FC1"/>
    <w:rsid w:val="00C17ED7"/>
    <w:rsid w:val="00C41F15"/>
    <w:rsid w:val="00C6678F"/>
    <w:rsid w:val="00C70171"/>
    <w:rsid w:val="00C70A68"/>
    <w:rsid w:val="00C82E98"/>
    <w:rsid w:val="00CA66A6"/>
    <w:rsid w:val="00CC7C21"/>
    <w:rsid w:val="00CE0886"/>
    <w:rsid w:val="00CF2516"/>
    <w:rsid w:val="00CF6D63"/>
    <w:rsid w:val="00D1342C"/>
    <w:rsid w:val="00D23B28"/>
    <w:rsid w:val="00D46C8D"/>
    <w:rsid w:val="00DE5444"/>
    <w:rsid w:val="00DF072F"/>
    <w:rsid w:val="00E32014"/>
    <w:rsid w:val="00EB58BA"/>
    <w:rsid w:val="00F04A6E"/>
    <w:rsid w:val="00F04DEF"/>
    <w:rsid w:val="00F30EB6"/>
    <w:rsid w:val="00F31070"/>
    <w:rsid w:val="00F53F10"/>
    <w:rsid w:val="00F636F8"/>
    <w:rsid w:val="00FA2C8E"/>
    <w:rsid w:val="00FA74BC"/>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538</TotalTime>
  <Pages>3</Pages>
  <Words>364</Words>
  <Characters>2008</Characters>
  <Application>Microsoft Office Word</Application>
  <DocSecurity>0</DocSecurity>
  <Lines>16</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79</cp:revision>
  <dcterms:created xsi:type="dcterms:W3CDTF">2021-11-25T09:44:00Z</dcterms:created>
  <dcterms:modified xsi:type="dcterms:W3CDTF">2022-04-10T13:47:00Z</dcterms:modified>
</cp:coreProperties>
</file>