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3FA72E37" w:rsidR="00902D2F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0BA4BD7D" w14:textId="4BF68389" w:rsidR="008B2A86" w:rsidRDefault="008B2A86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1EF86EB4" wp14:editId="456FC415">
            <wp:extent cx="5760720" cy="3886200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A410AB" w14:textId="0B22F9C8" w:rsidR="008B2A86" w:rsidRPr="00041E45" w:rsidRDefault="008B2A86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>
        <w:rPr>
          <w:rFonts w:ascii="Tahoma" w:hAnsi="Tahoma" w:cs="Tahoma"/>
          <w:sz w:val="32"/>
          <w:szCs w:val="32"/>
          <w:u w:val="single"/>
        </w:rPr>
        <w:t>Zoom du week</w:t>
      </w:r>
    </w:p>
    <w:p w14:paraId="2862B446" w14:textId="5DCA1A51" w:rsidR="00902D2F" w:rsidRDefault="000F79CE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3ADFF410" wp14:editId="013C2A32">
            <wp:extent cx="5760720" cy="3634740"/>
            <wp:effectExtent l="0" t="0" r="0" b="381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34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7AC4D2D2" w14:textId="3C6BA5E0" w:rsidR="00DF072F" w:rsidRDefault="000F79CE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Mon analyse de la semaine dernière était favorable à un maintien des prix </w:t>
      </w:r>
      <w:r w:rsidR="00B8794B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du support de 156.01 parce que le doji/marteau dessinait une zone d’achat </w:t>
      </w:r>
      <w:r w:rsidR="004073E0">
        <w:rPr>
          <w:rFonts w:ascii="Tahoma" w:hAnsi="Tahoma" w:cs="Tahoma"/>
        </w:rPr>
        <w:t>matérialisé</w:t>
      </w:r>
      <w:r w:rsidR="008B2A86">
        <w:rPr>
          <w:rFonts w:ascii="Tahoma" w:hAnsi="Tahoma" w:cs="Tahoma"/>
        </w:rPr>
        <w:t>e</w:t>
      </w:r>
      <w:r w:rsidR="004073E0">
        <w:rPr>
          <w:rFonts w:ascii="Tahoma" w:hAnsi="Tahoma" w:cs="Tahoma"/>
        </w:rPr>
        <w:t xml:space="preserve"> par sa mèche basse et que l’écart entre cours et TS militait pour une correction de la baisse.</w:t>
      </w:r>
    </w:p>
    <w:p w14:paraId="04A82D0A" w14:textId="62A261BB" w:rsidR="00CF4FE4" w:rsidRDefault="00CF4FE4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cassure de 156.01 </w:t>
      </w:r>
      <w:r w:rsidR="00B8794B">
        <w:rPr>
          <w:rFonts w:ascii="Tahoma" w:hAnsi="Tahoma" w:cs="Tahoma"/>
        </w:rPr>
        <w:t>à</w:t>
      </w:r>
      <w:r>
        <w:rPr>
          <w:rFonts w:ascii="Tahoma" w:hAnsi="Tahoma" w:cs="Tahoma"/>
        </w:rPr>
        <w:t xml:space="preserve"> envoyer le contrat Bund sur le support mensuel de 154.81</w:t>
      </w:r>
      <w:r w:rsidR="008B2A86">
        <w:rPr>
          <w:rFonts w:ascii="Tahoma" w:hAnsi="Tahoma" w:cs="Tahoma"/>
        </w:rPr>
        <w:t xml:space="preserve"> après un plus bas en semaine sur 154.27.</w:t>
      </w:r>
    </w:p>
    <w:p w14:paraId="374D1F17" w14:textId="073416F7" w:rsidR="00583BC8" w:rsidRDefault="00EE5E1A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Les vendeurs continuent de dominer les échanges mais comme on peut le constater </w:t>
      </w:r>
      <w:r w:rsidR="004E4DFC">
        <w:rPr>
          <w:rFonts w:ascii="Tahoma" w:hAnsi="Tahoma" w:cs="Tahoma"/>
        </w:rPr>
        <w:t xml:space="preserve">avec </w:t>
      </w:r>
      <w:r>
        <w:rPr>
          <w:rFonts w:ascii="Tahoma" w:hAnsi="Tahoma" w:cs="Tahoma"/>
        </w:rPr>
        <w:t xml:space="preserve">154.81, et comme on l’a vu sur 156.01 les </w:t>
      </w:r>
      <w:r w:rsidR="0029432F">
        <w:rPr>
          <w:rFonts w:ascii="Tahoma" w:hAnsi="Tahoma" w:cs="Tahoma"/>
        </w:rPr>
        <w:t xml:space="preserve">supports Ichimoku ne laissent pas les intervenants </w:t>
      </w:r>
      <w:r w:rsidR="00B8794B">
        <w:rPr>
          <w:rFonts w:ascii="Tahoma" w:hAnsi="Tahoma" w:cs="Tahoma"/>
        </w:rPr>
        <w:t>indifférents</w:t>
      </w:r>
      <w:r w:rsidR="0029432F">
        <w:rPr>
          <w:rFonts w:ascii="Tahoma" w:hAnsi="Tahoma" w:cs="Tahoma"/>
        </w:rPr>
        <w:t>.</w:t>
      </w:r>
    </w:p>
    <w:p w14:paraId="0D466895" w14:textId="3DA9239A" w:rsidR="004C193E" w:rsidRDefault="004C193E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 contexte est lourdement baissier et survendu comme le montre toujours l’écart entre les cours et la TS.</w:t>
      </w:r>
    </w:p>
    <w:p w14:paraId="1CC7ABA5" w14:textId="7F534433" w:rsidR="008822FB" w:rsidRDefault="008822FB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Quoi qu’il en soit, le prochain support se situe sur 151.06. ce sera la cible du marché lorsque 154.81 sera invalidé.</w:t>
      </w: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DAY</w:t>
      </w:r>
    </w:p>
    <w:p w14:paraId="1675B8DF" w14:textId="7C8D0C9B" w:rsidR="00583BC8" w:rsidRDefault="00006893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67BA7435" wp14:editId="608BFCD8">
            <wp:extent cx="5760720" cy="4320540"/>
            <wp:effectExtent l="0" t="0" r="0" b="381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B8B186" w14:textId="4CBA91F2" w:rsidR="00467005" w:rsidRDefault="0051398D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Semaine courte de 4 jours pour cause de vendredi saint.</w:t>
      </w:r>
    </w:p>
    <w:p w14:paraId="2C7DD0D3" w14:textId="4E6ABBA0" w:rsidR="0051398D" w:rsidRDefault="0051398D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Lundi le marché n’a pas cherché à travailler le support de 156.01, il l’a sauté pour venir chercher </w:t>
      </w:r>
      <w:r w:rsidR="00B7712E">
        <w:rPr>
          <w:rFonts w:ascii="Tahoma" w:hAnsi="Tahoma" w:cs="Tahoma"/>
        </w:rPr>
        <w:t xml:space="preserve">le point mensuel de 154.81. Mais les 2 chandeliers blancs qui ont suivi le support pourrait permettre d’envisager un rebond. </w:t>
      </w:r>
    </w:p>
    <w:p w14:paraId="6FACBE51" w14:textId="0BC43FCC" w:rsidR="00B7712E" w:rsidRDefault="004E4DFC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Quoi qu’il en soit, </w:t>
      </w:r>
      <w:r w:rsidR="00B7712E">
        <w:rPr>
          <w:rFonts w:ascii="Tahoma" w:hAnsi="Tahoma" w:cs="Tahoma"/>
        </w:rPr>
        <w:t xml:space="preserve"> l’articulation des bougies en </w:t>
      </w:r>
      <w:r>
        <w:rPr>
          <w:rFonts w:ascii="Tahoma" w:hAnsi="Tahoma" w:cs="Tahoma"/>
        </w:rPr>
        <w:t>tenant compte de</w:t>
      </w:r>
      <w:r w:rsidR="00B7712E">
        <w:rPr>
          <w:rFonts w:ascii="Tahoma" w:hAnsi="Tahoma" w:cs="Tahoma"/>
        </w:rPr>
        <w:t xml:space="preserve"> la fin de semaine peut amener à penser que le marché a dessiné une figure de continuation baissière.</w:t>
      </w:r>
    </w:p>
    <w:p w14:paraId="34033BB5" w14:textId="3B584B0E" w:rsidR="00B7712E" w:rsidRDefault="00B7712E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Dans ce contexte. L’annulation de la structure négative passera par un retour du contrat </w:t>
      </w:r>
      <w:r w:rsidR="00B8794B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156.</w:t>
      </w:r>
      <w:r w:rsidR="00A31CAD">
        <w:rPr>
          <w:rFonts w:ascii="Tahoma" w:hAnsi="Tahoma" w:cs="Tahoma"/>
        </w:rPr>
        <w:t>26</w:t>
      </w:r>
      <w:r>
        <w:rPr>
          <w:rFonts w:ascii="Tahoma" w:hAnsi="Tahoma" w:cs="Tahoma"/>
        </w:rPr>
        <w:t>.</w:t>
      </w:r>
      <w:r w:rsidR="00A31CAD">
        <w:rPr>
          <w:rFonts w:ascii="Tahoma" w:hAnsi="Tahoma" w:cs="Tahoma"/>
        </w:rPr>
        <w:t xml:space="preserve"> Mais si la dernière bougie est plus le résultat d’une volonté baissière que des sorties de positions de fin de semaine, alors la rupture de 154.81 </w:t>
      </w:r>
      <w:r w:rsidR="004E4DFC">
        <w:rPr>
          <w:rFonts w:ascii="Tahoma" w:hAnsi="Tahoma" w:cs="Tahoma"/>
        </w:rPr>
        <w:t>favorisera</w:t>
      </w:r>
      <w:r w:rsidR="00A31CAD">
        <w:rPr>
          <w:rFonts w:ascii="Tahoma" w:hAnsi="Tahoma" w:cs="Tahoma"/>
        </w:rPr>
        <w:t xml:space="preserve"> une poursuite de la baisse en direction du support de 151.06</w:t>
      </w:r>
    </w:p>
    <w:p w14:paraId="461FD63D" w14:textId="77777777" w:rsidR="00B7712E" w:rsidRDefault="00B7712E" w:rsidP="00041E45">
      <w:pPr>
        <w:jc w:val="both"/>
        <w:rPr>
          <w:rFonts w:ascii="Tahoma" w:hAnsi="Tahoma" w:cs="Tahoma"/>
        </w:rPr>
      </w:pPr>
    </w:p>
    <w:p w14:paraId="03FE4C3D" w14:textId="77777777" w:rsidR="00B7712E" w:rsidRDefault="00B7712E" w:rsidP="00041E45">
      <w:pPr>
        <w:jc w:val="both"/>
        <w:rPr>
          <w:rFonts w:ascii="Tahoma" w:hAnsi="Tahoma" w:cs="Tahoma"/>
        </w:rPr>
      </w:pPr>
    </w:p>
    <w:p w14:paraId="63EF4DA7" w14:textId="77777777" w:rsidR="004E4DFC" w:rsidRDefault="00B8794B" w:rsidP="00041E45">
      <w:pPr>
        <w:jc w:val="both"/>
        <w:rPr>
          <w:rFonts w:ascii="Tahoma" w:hAnsi="Tahoma" w:cs="Tahoma"/>
        </w:rPr>
      </w:pPr>
      <w:r w:rsidRPr="00B8794B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 xml:space="preserve"> : hausse </w:t>
      </w:r>
      <w:r w:rsidR="001A58A3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156.26 sinon baisse en rupture de 154.81</w:t>
      </w:r>
      <w:r w:rsidR="004E4DFC">
        <w:rPr>
          <w:rFonts w:ascii="Tahoma" w:hAnsi="Tahoma" w:cs="Tahoma"/>
        </w:rPr>
        <w:t>$^</w:t>
      </w:r>
    </w:p>
    <w:p w14:paraId="2F4EE5D6" w14:textId="77777777" w:rsidR="004E4DFC" w:rsidRDefault="004E4DFC" w:rsidP="00041E45">
      <w:pPr>
        <w:jc w:val="both"/>
        <w:rPr>
          <w:rFonts w:ascii="Tahoma" w:hAnsi="Tahoma" w:cs="Tahoma"/>
        </w:rPr>
      </w:pPr>
    </w:p>
    <w:p w14:paraId="6281E702" w14:textId="77777777" w:rsidR="004E4DFC" w:rsidRDefault="004E4DFC" w:rsidP="00041E45">
      <w:pPr>
        <w:jc w:val="both"/>
        <w:rPr>
          <w:rFonts w:ascii="Tahoma" w:hAnsi="Tahoma" w:cs="Tahoma"/>
        </w:rPr>
      </w:pPr>
    </w:p>
    <w:p w14:paraId="7E91DCB8" w14:textId="77777777" w:rsidR="004E4DFC" w:rsidRDefault="004E4DFC" w:rsidP="00041E45">
      <w:pPr>
        <w:jc w:val="both"/>
        <w:rPr>
          <w:rFonts w:ascii="Tahoma" w:hAnsi="Tahoma" w:cs="Tahoma"/>
        </w:rPr>
      </w:pPr>
    </w:p>
    <w:p w14:paraId="2F904390" w14:textId="77777777" w:rsidR="004E4DFC" w:rsidRDefault="004E4DFC" w:rsidP="00041E45">
      <w:pPr>
        <w:jc w:val="both"/>
        <w:rPr>
          <w:rFonts w:ascii="Tahoma" w:hAnsi="Tahoma" w:cs="Tahoma"/>
        </w:rPr>
      </w:pPr>
    </w:p>
    <w:p w14:paraId="67BE70B2" w14:textId="77777777" w:rsidR="004E4DFC" w:rsidRDefault="004E4DFC" w:rsidP="00041E45">
      <w:pPr>
        <w:jc w:val="both"/>
        <w:rPr>
          <w:rFonts w:ascii="Tahoma" w:hAnsi="Tahoma" w:cs="Tahoma"/>
        </w:rPr>
      </w:pPr>
    </w:p>
    <w:p w14:paraId="74679B17" w14:textId="77777777" w:rsidR="004E4DFC" w:rsidRDefault="004E4DFC" w:rsidP="00041E45">
      <w:pPr>
        <w:jc w:val="both"/>
        <w:rPr>
          <w:rFonts w:ascii="Tahoma" w:hAnsi="Tahoma" w:cs="Tahoma"/>
        </w:rPr>
      </w:pPr>
    </w:p>
    <w:p w14:paraId="69A6F312" w14:textId="77777777" w:rsidR="004E4DFC" w:rsidRDefault="004E4DFC" w:rsidP="00041E45">
      <w:pPr>
        <w:jc w:val="both"/>
        <w:rPr>
          <w:rFonts w:ascii="Tahoma" w:hAnsi="Tahoma" w:cs="Tahoma"/>
        </w:rPr>
      </w:pPr>
    </w:p>
    <w:p w14:paraId="42B70E62" w14:textId="77777777" w:rsidR="004E4DFC" w:rsidRDefault="004E4DFC" w:rsidP="00041E45">
      <w:pPr>
        <w:jc w:val="both"/>
        <w:rPr>
          <w:rFonts w:ascii="Tahoma" w:hAnsi="Tahoma" w:cs="Tahoma"/>
        </w:rPr>
      </w:pPr>
    </w:p>
    <w:p w14:paraId="022E731E" w14:textId="77777777" w:rsidR="004E4DFC" w:rsidRDefault="004E4DFC" w:rsidP="00041E45">
      <w:pPr>
        <w:jc w:val="both"/>
        <w:rPr>
          <w:rFonts w:ascii="Tahoma" w:hAnsi="Tahoma" w:cs="Tahoma"/>
        </w:rPr>
      </w:pPr>
    </w:p>
    <w:p w14:paraId="4AD558AE" w14:textId="77777777" w:rsidR="004E4DFC" w:rsidRDefault="004E4DFC" w:rsidP="00041E45">
      <w:pPr>
        <w:jc w:val="both"/>
        <w:rPr>
          <w:rFonts w:ascii="Tahoma" w:hAnsi="Tahoma" w:cs="Tahoma"/>
        </w:rPr>
      </w:pPr>
    </w:p>
    <w:p w14:paraId="10BB9766" w14:textId="4B02F09B" w:rsidR="00723F77" w:rsidRDefault="00B8794B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.</w:t>
      </w:r>
    </w:p>
    <w:p w14:paraId="655E9AC0" w14:textId="4F40B9D5" w:rsidR="00723F77" w:rsidRDefault="00723F77" w:rsidP="00041E45">
      <w:pPr>
        <w:jc w:val="both"/>
        <w:rPr>
          <w:rFonts w:ascii="Tahoma" w:hAnsi="Tahoma" w:cs="Tahoma"/>
        </w:rPr>
      </w:pPr>
    </w:p>
    <w:p w14:paraId="01260563" w14:textId="77777777" w:rsidR="00E3727C" w:rsidRDefault="00E3727C" w:rsidP="00041E45">
      <w:pPr>
        <w:jc w:val="both"/>
        <w:rPr>
          <w:rFonts w:ascii="Tahoma" w:hAnsi="Tahoma" w:cs="Tahoma"/>
        </w:rPr>
      </w:pPr>
    </w:p>
    <w:p w14:paraId="7ECBFD62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06893"/>
    <w:rsid w:val="0002580A"/>
    <w:rsid w:val="00041E45"/>
    <w:rsid w:val="000524C5"/>
    <w:rsid w:val="000556C3"/>
    <w:rsid w:val="000833FB"/>
    <w:rsid w:val="00092058"/>
    <w:rsid w:val="000938CC"/>
    <w:rsid w:val="000B221E"/>
    <w:rsid w:val="000B7DFC"/>
    <w:rsid w:val="000C0DE4"/>
    <w:rsid w:val="000D4ED3"/>
    <w:rsid w:val="000F79CE"/>
    <w:rsid w:val="001018AD"/>
    <w:rsid w:val="00103ED4"/>
    <w:rsid w:val="00105B4E"/>
    <w:rsid w:val="00134AFA"/>
    <w:rsid w:val="00135766"/>
    <w:rsid w:val="0014687D"/>
    <w:rsid w:val="0015581D"/>
    <w:rsid w:val="00163C46"/>
    <w:rsid w:val="001705F4"/>
    <w:rsid w:val="00190995"/>
    <w:rsid w:val="001A4796"/>
    <w:rsid w:val="001A58A3"/>
    <w:rsid w:val="001D474B"/>
    <w:rsid w:val="001F650A"/>
    <w:rsid w:val="002003AD"/>
    <w:rsid w:val="002421FE"/>
    <w:rsid w:val="00262E25"/>
    <w:rsid w:val="00263ED0"/>
    <w:rsid w:val="0029432F"/>
    <w:rsid w:val="002A1F8E"/>
    <w:rsid w:val="002B5CB1"/>
    <w:rsid w:val="002C0A31"/>
    <w:rsid w:val="002F54B0"/>
    <w:rsid w:val="00303214"/>
    <w:rsid w:val="0030643B"/>
    <w:rsid w:val="00337611"/>
    <w:rsid w:val="00340FD9"/>
    <w:rsid w:val="00352DD9"/>
    <w:rsid w:val="003767E0"/>
    <w:rsid w:val="00397D3D"/>
    <w:rsid w:val="0040171B"/>
    <w:rsid w:val="004073E0"/>
    <w:rsid w:val="00467005"/>
    <w:rsid w:val="004A2D2D"/>
    <w:rsid w:val="004A5154"/>
    <w:rsid w:val="004C193E"/>
    <w:rsid w:val="004E4DFC"/>
    <w:rsid w:val="004F48EE"/>
    <w:rsid w:val="0051398D"/>
    <w:rsid w:val="00531928"/>
    <w:rsid w:val="005440A4"/>
    <w:rsid w:val="00546A5A"/>
    <w:rsid w:val="00566580"/>
    <w:rsid w:val="00567AF3"/>
    <w:rsid w:val="00583BC8"/>
    <w:rsid w:val="00654380"/>
    <w:rsid w:val="00664BE1"/>
    <w:rsid w:val="006B055C"/>
    <w:rsid w:val="006E32BB"/>
    <w:rsid w:val="006E38E0"/>
    <w:rsid w:val="00710599"/>
    <w:rsid w:val="00723F77"/>
    <w:rsid w:val="00744696"/>
    <w:rsid w:val="00772067"/>
    <w:rsid w:val="0077545D"/>
    <w:rsid w:val="007A0A4B"/>
    <w:rsid w:val="007A0E6C"/>
    <w:rsid w:val="007B1237"/>
    <w:rsid w:val="007B661D"/>
    <w:rsid w:val="007D19FF"/>
    <w:rsid w:val="007D2085"/>
    <w:rsid w:val="007D4181"/>
    <w:rsid w:val="0083454A"/>
    <w:rsid w:val="00837B38"/>
    <w:rsid w:val="008822FB"/>
    <w:rsid w:val="00896554"/>
    <w:rsid w:val="008A7407"/>
    <w:rsid w:val="008B2A86"/>
    <w:rsid w:val="008F10C2"/>
    <w:rsid w:val="00902D2F"/>
    <w:rsid w:val="00961FDF"/>
    <w:rsid w:val="00983B7D"/>
    <w:rsid w:val="009A37C2"/>
    <w:rsid w:val="009F3AB8"/>
    <w:rsid w:val="00A11606"/>
    <w:rsid w:val="00A31CAD"/>
    <w:rsid w:val="00A6401C"/>
    <w:rsid w:val="00A81AB7"/>
    <w:rsid w:val="00AA522C"/>
    <w:rsid w:val="00AE7F3B"/>
    <w:rsid w:val="00B34260"/>
    <w:rsid w:val="00B41C02"/>
    <w:rsid w:val="00B4335A"/>
    <w:rsid w:val="00B50E38"/>
    <w:rsid w:val="00B554B8"/>
    <w:rsid w:val="00B64EE0"/>
    <w:rsid w:val="00B7712E"/>
    <w:rsid w:val="00B8794B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B17C9"/>
    <w:rsid w:val="00CC72FF"/>
    <w:rsid w:val="00CC7C21"/>
    <w:rsid w:val="00CE0886"/>
    <w:rsid w:val="00CF2516"/>
    <w:rsid w:val="00CF4FE4"/>
    <w:rsid w:val="00CF6D63"/>
    <w:rsid w:val="00D23B28"/>
    <w:rsid w:val="00D46C8D"/>
    <w:rsid w:val="00DA1359"/>
    <w:rsid w:val="00DE5444"/>
    <w:rsid w:val="00DF072F"/>
    <w:rsid w:val="00E32014"/>
    <w:rsid w:val="00E3727C"/>
    <w:rsid w:val="00EB58BA"/>
    <w:rsid w:val="00EE5E1A"/>
    <w:rsid w:val="00F04A6E"/>
    <w:rsid w:val="00F04DEF"/>
    <w:rsid w:val="00F31070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597</TotalTime>
  <Pages>4</Pages>
  <Words>390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105</cp:revision>
  <dcterms:created xsi:type="dcterms:W3CDTF">2021-11-25T09:44:00Z</dcterms:created>
  <dcterms:modified xsi:type="dcterms:W3CDTF">2022-04-15T15:31:00Z</dcterms:modified>
</cp:coreProperties>
</file>