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8DD1E2B" w:rsidR="00902D2F"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35DB331C" w14:textId="5481402B" w:rsidR="00466924" w:rsidRPr="00466924" w:rsidRDefault="00466924" w:rsidP="00B41C02">
      <w:pPr>
        <w:jc w:val="both"/>
        <w:rPr>
          <w:rFonts w:ascii="Tahoma" w:hAnsi="Tahoma" w:cs="Tahoma"/>
          <w:sz w:val="32"/>
          <w:szCs w:val="32"/>
          <w:u w:val="single"/>
        </w:rPr>
      </w:pPr>
      <w:r w:rsidRPr="00466924">
        <w:rPr>
          <w:rFonts w:ascii="Tahoma" w:hAnsi="Tahoma" w:cs="Tahoma"/>
          <w:sz w:val="32"/>
          <w:szCs w:val="32"/>
          <w:u w:val="single"/>
        </w:rPr>
        <w:t>Month</w:t>
      </w:r>
    </w:p>
    <w:p w14:paraId="7D878277" w14:textId="565245C7" w:rsidR="00466924" w:rsidRDefault="00F94F76" w:rsidP="00B41C02">
      <w:pPr>
        <w:jc w:val="both"/>
        <w:rPr>
          <w:rFonts w:ascii="Tahoma" w:hAnsi="Tahoma" w:cs="Tahoma"/>
          <w:sz w:val="48"/>
          <w:szCs w:val="48"/>
          <w:u w:val="single"/>
        </w:rPr>
      </w:pPr>
      <w:r>
        <w:rPr>
          <w:noProof/>
        </w:rPr>
        <w:drawing>
          <wp:inline distT="0" distB="0" distL="0" distR="0" wp14:anchorId="1F18EA92" wp14:editId="36D26D8E">
            <wp:extent cx="5760720" cy="4320540"/>
            <wp:effectExtent l="0" t="0" r="0" b="381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4D21A6D" w14:textId="60D20EA1" w:rsidR="00F94F76" w:rsidRDefault="00466924" w:rsidP="00F94F76">
      <w:pPr>
        <w:spacing w:after="120"/>
        <w:jc w:val="both"/>
        <w:rPr>
          <w:rFonts w:ascii="Tahoma" w:hAnsi="Tahoma" w:cs="Tahoma"/>
        </w:rPr>
      </w:pPr>
      <w:r w:rsidRPr="00466924">
        <w:rPr>
          <w:rFonts w:ascii="Tahoma" w:hAnsi="Tahoma" w:cs="Tahoma"/>
        </w:rPr>
        <w:t>Le ma</w:t>
      </w:r>
      <w:r>
        <w:rPr>
          <w:rFonts w:ascii="Tahoma" w:hAnsi="Tahoma" w:cs="Tahoma"/>
        </w:rPr>
        <w:t>rché reste lourdement baissier comme le montre le dernier chandelier relativement long qui enchaine un</w:t>
      </w:r>
      <w:r w:rsidR="00F94F76">
        <w:rPr>
          <w:rFonts w:ascii="Tahoma" w:hAnsi="Tahoma" w:cs="Tahoma"/>
        </w:rPr>
        <w:t>e autre chandelle de taille équivalente.</w:t>
      </w:r>
    </w:p>
    <w:p w14:paraId="55CF52A0" w14:textId="5498F6CC" w:rsidR="00F94F76" w:rsidRDefault="00A46794" w:rsidP="00F94F76">
      <w:pPr>
        <w:spacing w:after="120"/>
        <w:jc w:val="both"/>
        <w:rPr>
          <w:rFonts w:ascii="Tahoma" w:hAnsi="Tahoma" w:cs="Tahoma"/>
        </w:rPr>
      </w:pPr>
      <w:r>
        <w:rPr>
          <w:rFonts w:ascii="Tahoma" w:hAnsi="Tahoma" w:cs="Tahoma"/>
        </w:rPr>
        <w:t>Attention tout de même, d</w:t>
      </w:r>
      <w:r w:rsidR="00F94F76">
        <w:rPr>
          <w:rFonts w:ascii="Tahoma" w:hAnsi="Tahoma" w:cs="Tahoma"/>
        </w:rPr>
        <w:t xml:space="preserve">es baisses trop importantes pourraient assécher le courant baissier. </w:t>
      </w:r>
    </w:p>
    <w:p w14:paraId="46CCE9A0" w14:textId="758813D9" w:rsidR="0036408D" w:rsidRDefault="00A46794" w:rsidP="00F94F76">
      <w:pPr>
        <w:spacing w:after="120"/>
        <w:jc w:val="both"/>
        <w:rPr>
          <w:rFonts w:ascii="Tahoma" w:hAnsi="Tahoma" w:cs="Tahoma"/>
        </w:rPr>
      </w:pPr>
      <w:r>
        <w:rPr>
          <w:rFonts w:ascii="Tahoma" w:hAnsi="Tahoma" w:cs="Tahoma"/>
        </w:rPr>
        <w:t>Les prix ont cassé le support mensuel de 154.81 pour venir s’établir sur le suivant situé à 153.80. En rupture</w:t>
      </w:r>
      <w:r w:rsidR="00975566">
        <w:rPr>
          <w:rFonts w:ascii="Tahoma" w:hAnsi="Tahoma" w:cs="Tahoma"/>
        </w:rPr>
        <w:t>,</w:t>
      </w:r>
      <w:r>
        <w:rPr>
          <w:rFonts w:ascii="Tahoma" w:hAnsi="Tahoma" w:cs="Tahoma"/>
        </w:rPr>
        <w:t xml:space="preserve"> la voie sera ouverte pour aller chercher le point hebdomadaire de 151.06.</w:t>
      </w:r>
    </w:p>
    <w:p w14:paraId="7383E377" w14:textId="553497D6" w:rsidR="0036408D" w:rsidRDefault="00975566" w:rsidP="00F94F76">
      <w:pPr>
        <w:spacing w:after="120"/>
        <w:jc w:val="both"/>
        <w:rPr>
          <w:rFonts w:ascii="Tahoma" w:hAnsi="Tahoma" w:cs="Tahoma"/>
        </w:rPr>
      </w:pPr>
      <w:r>
        <w:rPr>
          <w:rFonts w:ascii="Tahoma" w:hAnsi="Tahoma" w:cs="Tahoma"/>
        </w:rPr>
        <w:t>Le</w:t>
      </w:r>
      <w:r w:rsidR="0036408D">
        <w:rPr>
          <w:rFonts w:ascii="Tahoma" w:hAnsi="Tahoma" w:cs="Tahoma"/>
        </w:rPr>
        <w:t xml:space="preserve"> contrat a pris position sous son nuage. Cela peut être négatif pour l’évolution future des prix mais il faudra attendre que la LS en fasse autant pour placer le marché dans un environnement baissier de long terme. </w:t>
      </w:r>
    </w:p>
    <w:p w14:paraId="28D35F2D" w14:textId="77777777" w:rsidR="00F94F76" w:rsidRPr="00263ED0" w:rsidRDefault="00F94F76" w:rsidP="00F94F76">
      <w:pPr>
        <w:spacing w:after="120"/>
        <w:jc w:val="both"/>
        <w:rPr>
          <w:rFonts w:ascii="Tahoma" w:hAnsi="Tahoma" w:cs="Tahoma"/>
          <w:sz w:val="48"/>
          <w:szCs w:val="48"/>
          <w:u w:val="single"/>
        </w:rPr>
      </w:pP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3AA0E63" w:rsidR="00902D2F" w:rsidRDefault="00E7374A" w:rsidP="00B41C02">
      <w:pPr>
        <w:jc w:val="both"/>
        <w:rPr>
          <w:rFonts w:ascii="Tahoma" w:hAnsi="Tahoma" w:cs="Tahoma"/>
        </w:rPr>
      </w:pPr>
      <w:r>
        <w:rPr>
          <w:noProof/>
        </w:rPr>
        <w:lastRenderedPageBreak/>
        <w:drawing>
          <wp:inline distT="0" distB="0" distL="0" distR="0" wp14:anchorId="278BD1DF" wp14:editId="4C4C5832">
            <wp:extent cx="5760720" cy="36728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672840"/>
                    </a:xfrm>
                    <a:prstGeom prst="rect">
                      <a:avLst/>
                    </a:prstGeom>
                    <a:noFill/>
                    <a:ln>
                      <a:noFill/>
                    </a:ln>
                  </pic:spPr>
                </pic:pic>
              </a:graphicData>
            </a:graphic>
          </wp:inline>
        </w:drawing>
      </w:r>
    </w:p>
    <w:p w14:paraId="2DF69900" w14:textId="57EDBADB" w:rsidR="00466924" w:rsidRPr="001E5588" w:rsidRDefault="00466924" w:rsidP="00B41C02">
      <w:pPr>
        <w:jc w:val="both"/>
        <w:rPr>
          <w:rFonts w:ascii="Tahoma" w:hAnsi="Tahoma" w:cs="Tahoma"/>
          <w:sz w:val="36"/>
          <w:szCs w:val="36"/>
        </w:rPr>
      </w:pPr>
      <w:r w:rsidRPr="001E5588">
        <w:rPr>
          <w:rFonts w:ascii="Tahoma" w:hAnsi="Tahoma" w:cs="Tahoma"/>
          <w:sz w:val="36"/>
          <w:szCs w:val="36"/>
        </w:rPr>
        <w:t xml:space="preserve">Zoom du </w:t>
      </w:r>
      <w:r w:rsidR="00282955" w:rsidRPr="001E5588">
        <w:rPr>
          <w:rFonts w:ascii="Tahoma" w:hAnsi="Tahoma" w:cs="Tahoma"/>
          <w:sz w:val="36"/>
          <w:szCs w:val="36"/>
        </w:rPr>
        <w:t>Week</w:t>
      </w:r>
    </w:p>
    <w:p w14:paraId="685822D0" w14:textId="649B2C16" w:rsidR="006E32BB" w:rsidRDefault="00E7374A" w:rsidP="00B41C02">
      <w:pPr>
        <w:jc w:val="both"/>
        <w:rPr>
          <w:rFonts w:ascii="Tahoma" w:hAnsi="Tahoma" w:cs="Tahoma"/>
        </w:rPr>
      </w:pPr>
      <w:r>
        <w:rPr>
          <w:noProof/>
        </w:rPr>
        <w:drawing>
          <wp:inline distT="0" distB="0" distL="0" distR="0" wp14:anchorId="588D968A" wp14:editId="725A0CCD">
            <wp:extent cx="5760720" cy="394716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947160"/>
                    </a:xfrm>
                    <a:prstGeom prst="rect">
                      <a:avLst/>
                    </a:prstGeom>
                    <a:noFill/>
                    <a:ln>
                      <a:noFill/>
                    </a:ln>
                  </pic:spPr>
                </pic:pic>
              </a:graphicData>
            </a:graphic>
          </wp:inline>
        </w:drawing>
      </w:r>
    </w:p>
    <w:p w14:paraId="4ED37E06" w14:textId="3D2A341A" w:rsidR="001E221C"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E7374A">
        <w:rPr>
          <w:rFonts w:ascii="Tahoma" w:hAnsi="Tahoma" w:cs="Tahoma"/>
        </w:rPr>
        <w:t xml:space="preserve"> dynamique des prix est </w:t>
      </w:r>
      <w:r w:rsidR="00282955">
        <w:rPr>
          <w:rFonts w:ascii="Tahoma" w:hAnsi="Tahoma" w:cs="Tahoma"/>
        </w:rPr>
        <w:t>intéressante</w:t>
      </w:r>
      <w:r w:rsidR="00E7374A">
        <w:rPr>
          <w:rFonts w:ascii="Tahoma" w:hAnsi="Tahoma" w:cs="Tahoma"/>
        </w:rPr>
        <w:t xml:space="preserve">. La dernière chandelle donne un marteau inversé. La combinaison des deux derniers chandeliers dessine un creux en pince. </w:t>
      </w:r>
      <w:r w:rsidR="001E221C">
        <w:rPr>
          <w:rFonts w:ascii="Tahoma" w:hAnsi="Tahoma" w:cs="Tahoma"/>
        </w:rPr>
        <w:t xml:space="preserve">Le marteau inversé montre que sur les niveaux de 153.00, un courant acheteur a pris forme </w:t>
      </w:r>
      <w:r w:rsidR="001E5588">
        <w:rPr>
          <w:rFonts w:ascii="Tahoma" w:hAnsi="Tahoma" w:cs="Tahoma"/>
        </w:rPr>
        <w:t xml:space="preserve">et </w:t>
      </w:r>
      <w:r w:rsidR="001E221C">
        <w:rPr>
          <w:rFonts w:ascii="Tahoma" w:hAnsi="Tahoma" w:cs="Tahoma"/>
        </w:rPr>
        <w:t xml:space="preserve">même s’il n’a pas </w:t>
      </w:r>
      <w:r w:rsidR="001E221C">
        <w:rPr>
          <w:rFonts w:ascii="Tahoma" w:hAnsi="Tahoma" w:cs="Tahoma"/>
        </w:rPr>
        <w:lastRenderedPageBreak/>
        <w:t xml:space="preserve">tenu, il pourrait </w:t>
      </w:r>
      <w:r w:rsidR="00282955">
        <w:rPr>
          <w:rFonts w:ascii="Tahoma" w:hAnsi="Tahoma" w:cs="Tahoma"/>
        </w:rPr>
        <w:t>amener</w:t>
      </w:r>
      <w:r w:rsidR="001E221C">
        <w:rPr>
          <w:rFonts w:ascii="Tahoma" w:hAnsi="Tahoma" w:cs="Tahoma"/>
        </w:rPr>
        <w:t xml:space="preserve"> une partie des vendeurs à </w:t>
      </w:r>
      <w:r w:rsidR="00282955">
        <w:rPr>
          <w:rFonts w:ascii="Tahoma" w:hAnsi="Tahoma" w:cs="Tahoma"/>
        </w:rPr>
        <w:t>clôturer</w:t>
      </w:r>
      <w:r w:rsidR="001E221C">
        <w:rPr>
          <w:rFonts w:ascii="Tahoma" w:hAnsi="Tahoma" w:cs="Tahoma"/>
        </w:rPr>
        <w:t xml:space="preserve"> leurs positions si les cours </w:t>
      </w:r>
      <w:r w:rsidR="001E5588">
        <w:rPr>
          <w:rFonts w:ascii="Tahoma" w:hAnsi="Tahoma" w:cs="Tahoma"/>
        </w:rPr>
        <w:t xml:space="preserve">devaient </w:t>
      </w:r>
      <w:r w:rsidR="001E221C">
        <w:rPr>
          <w:rFonts w:ascii="Tahoma" w:hAnsi="Tahoma" w:cs="Tahoma"/>
        </w:rPr>
        <w:t>progress</w:t>
      </w:r>
      <w:r w:rsidR="001E5588">
        <w:rPr>
          <w:rFonts w:ascii="Tahoma" w:hAnsi="Tahoma" w:cs="Tahoma"/>
        </w:rPr>
        <w:t>er</w:t>
      </w:r>
      <w:r w:rsidR="001E221C" w:rsidRPr="001E221C">
        <w:rPr>
          <w:rFonts w:ascii="Tahoma" w:hAnsi="Tahoma" w:cs="Tahoma"/>
        </w:rPr>
        <w:t xml:space="preserve"> </w:t>
      </w:r>
      <w:r w:rsidR="001E221C">
        <w:rPr>
          <w:rFonts w:ascii="Tahoma" w:hAnsi="Tahoma" w:cs="Tahoma"/>
        </w:rPr>
        <w:t>la semaine prochaine.</w:t>
      </w:r>
    </w:p>
    <w:p w14:paraId="20C9271A" w14:textId="4D69CAF3" w:rsidR="00401D92" w:rsidRDefault="001E221C" w:rsidP="00B41C02">
      <w:pPr>
        <w:jc w:val="both"/>
        <w:rPr>
          <w:rFonts w:ascii="Tahoma" w:hAnsi="Tahoma" w:cs="Tahoma"/>
        </w:rPr>
      </w:pPr>
      <w:r>
        <w:rPr>
          <w:rFonts w:ascii="Tahoma" w:hAnsi="Tahoma" w:cs="Tahoma"/>
        </w:rPr>
        <w:t xml:space="preserve">Le creux en pince </w:t>
      </w:r>
      <w:r w:rsidR="001E5588">
        <w:rPr>
          <w:rFonts w:ascii="Tahoma" w:hAnsi="Tahoma" w:cs="Tahoma"/>
        </w:rPr>
        <w:t>est aussi une alerte haussière. Ici, il</w:t>
      </w:r>
      <w:r>
        <w:rPr>
          <w:rFonts w:ascii="Tahoma" w:hAnsi="Tahoma" w:cs="Tahoma"/>
        </w:rPr>
        <w:t xml:space="preserve"> renforcé par le marteau inversé. Cette structure pourrait inciter les vendeurs à revoir leurs positions si de nouveaux bas ne </w:t>
      </w:r>
      <w:r w:rsidR="001E5588">
        <w:rPr>
          <w:rFonts w:ascii="Tahoma" w:hAnsi="Tahoma" w:cs="Tahoma"/>
        </w:rPr>
        <w:t>voient pas rapidement le jour</w:t>
      </w:r>
      <w:r>
        <w:rPr>
          <w:rFonts w:ascii="Tahoma" w:hAnsi="Tahoma" w:cs="Tahoma"/>
        </w:rPr>
        <w:t>.</w:t>
      </w:r>
    </w:p>
    <w:p w14:paraId="4D9B2E87" w14:textId="06B11506" w:rsidR="001E221C" w:rsidRDefault="00401D92" w:rsidP="00B41C02">
      <w:pPr>
        <w:jc w:val="both"/>
        <w:rPr>
          <w:rFonts w:ascii="Tahoma" w:hAnsi="Tahoma" w:cs="Tahoma"/>
        </w:rPr>
      </w:pPr>
      <w:r>
        <w:rPr>
          <w:rFonts w:ascii="Tahoma" w:hAnsi="Tahoma" w:cs="Tahoma"/>
        </w:rPr>
        <w:t>Dans ce contexte, ces deux alertent haussières militeront pour un rebond des prix ou au pire une consolidation tant que le seuil de 153.00 ne sera pas enfoncé.</w:t>
      </w:r>
      <w:r w:rsidR="001E221C">
        <w:rPr>
          <w:rFonts w:ascii="Tahoma" w:hAnsi="Tahoma" w:cs="Tahoma"/>
        </w:rPr>
        <w:t xml:space="preserve"> </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710BA38C" w14:textId="6218EE7F" w:rsidR="00163C46" w:rsidRDefault="00FE6AAC" w:rsidP="00263ED0">
      <w:pPr>
        <w:jc w:val="both"/>
        <w:rPr>
          <w:rFonts w:ascii="Tahoma" w:hAnsi="Tahoma" w:cs="Tahoma"/>
        </w:rPr>
      </w:pPr>
      <w:r>
        <w:rPr>
          <w:noProof/>
        </w:rPr>
        <w:drawing>
          <wp:inline distT="0" distB="0" distL="0" distR="0" wp14:anchorId="7C5053F5" wp14:editId="72459149">
            <wp:extent cx="5760720" cy="4320540"/>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0BB9766" w14:textId="49888998" w:rsidR="00723F77" w:rsidRDefault="00FE6AAC" w:rsidP="00041E45">
      <w:pPr>
        <w:jc w:val="both"/>
        <w:rPr>
          <w:rFonts w:ascii="Tahoma" w:hAnsi="Tahoma" w:cs="Tahoma"/>
        </w:rPr>
      </w:pPr>
      <w:r>
        <w:rPr>
          <w:rFonts w:ascii="Tahoma" w:hAnsi="Tahoma" w:cs="Tahoma"/>
        </w:rPr>
        <w:t>Le court terme ne nous donne pas d’information</w:t>
      </w:r>
      <w:r w:rsidR="00C557C8">
        <w:rPr>
          <w:rFonts w:ascii="Tahoma" w:hAnsi="Tahoma" w:cs="Tahoma"/>
        </w:rPr>
        <w:t>s</w:t>
      </w:r>
      <w:r>
        <w:rPr>
          <w:rFonts w:ascii="Tahoma" w:hAnsi="Tahoma" w:cs="Tahoma"/>
        </w:rPr>
        <w:t xml:space="preserve"> su</w:t>
      </w:r>
      <w:r w:rsidR="00083740">
        <w:rPr>
          <w:rFonts w:ascii="Tahoma" w:hAnsi="Tahoma" w:cs="Tahoma"/>
        </w:rPr>
        <w:t>p</w:t>
      </w:r>
      <w:r>
        <w:rPr>
          <w:rFonts w:ascii="Tahoma" w:hAnsi="Tahoma" w:cs="Tahoma"/>
        </w:rPr>
        <w:t>plémentaire</w:t>
      </w:r>
      <w:r w:rsidR="00C557C8">
        <w:rPr>
          <w:rFonts w:ascii="Tahoma" w:hAnsi="Tahoma" w:cs="Tahoma"/>
        </w:rPr>
        <w:t>s</w:t>
      </w:r>
      <w:r>
        <w:rPr>
          <w:rFonts w:ascii="Tahoma" w:hAnsi="Tahoma" w:cs="Tahoma"/>
        </w:rPr>
        <w:t>.</w:t>
      </w:r>
      <w:r w:rsidR="00607EC7">
        <w:rPr>
          <w:rFonts w:ascii="Tahoma" w:hAnsi="Tahoma" w:cs="Tahoma"/>
        </w:rPr>
        <w:t xml:space="preserve"> </w:t>
      </w:r>
    </w:p>
    <w:p w14:paraId="7F487DC5" w14:textId="0247933A" w:rsidR="00607EC7" w:rsidRDefault="00607EC7" w:rsidP="00041E45">
      <w:pPr>
        <w:jc w:val="both"/>
        <w:rPr>
          <w:rFonts w:ascii="Tahoma" w:hAnsi="Tahoma" w:cs="Tahoma"/>
        </w:rPr>
      </w:pPr>
      <w:r>
        <w:rPr>
          <w:rFonts w:ascii="Tahoma" w:hAnsi="Tahoma" w:cs="Tahoma"/>
        </w:rPr>
        <w:t>L</w:t>
      </w:r>
      <w:r w:rsidR="00C557C8">
        <w:rPr>
          <w:rFonts w:ascii="Tahoma" w:hAnsi="Tahoma" w:cs="Tahoma"/>
        </w:rPr>
        <w:t>e</w:t>
      </w:r>
      <w:r>
        <w:rPr>
          <w:rFonts w:ascii="Tahoma" w:hAnsi="Tahoma" w:cs="Tahoma"/>
        </w:rPr>
        <w:t xml:space="preserve"> plat de TS nous indique que le marché n’est plus en mouvement. C’est probablement pour cette raison que le moyen terme a dessiné des bougies d’alerte haussière.</w:t>
      </w:r>
    </w:p>
    <w:p w14:paraId="61669801" w14:textId="1970FE8E" w:rsidR="00607EC7" w:rsidRDefault="00607EC7" w:rsidP="00041E45">
      <w:pPr>
        <w:jc w:val="both"/>
        <w:rPr>
          <w:rFonts w:ascii="Tahoma" w:hAnsi="Tahoma" w:cs="Tahoma"/>
        </w:rPr>
      </w:pPr>
      <w:r>
        <w:rPr>
          <w:rFonts w:ascii="Tahoma" w:hAnsi="Tahoma" w:cs="Tahoma"/>
        </w:rPr>
        <w:t xml:space="preserve">Pour autant, une pause dans un mouvement de baisse peut être le </w:t>
      </w:r>
      <w:r w:rsidR="00282955">
        <w:rPr>
          <w:rFonts w:ascii="Tahoma" w:hAnsi="Tahoma" w:cs="Tahoma"/>
        </w:rPr>
        <w:t>premier</w:t>
      </w:r>
      <w:r>
        <w:rPr>
          <w:rFonts w:ascii="Tahoma" w:hAnsi="Tahoma" w:cs="Tahoma"/>
        </w:rPr>
        <w:t xml:space="preserve"> élément d’un retournement. </w:t>
      </w:r>
      <w:r w:rsidR="00C557C8">
        <w:rPr>
          <w:rFonts w:ascii="Tahoma" w:hAnsi="Tahoma" w:cs="Tahoma"/>
        </w:rPr>
        <w:t>Mais p</w:t>
      </w:r>
      <w:r>
        <w:rPr>
          <w:rFonts w:ascii="Tahoma" w:hAnsi="Tahoma" w:cs="Tahoma"/>
        </w:rPr>
        <w:t xml:space="preserve">our envisager cette éventualité, le contrat devra s’établir </w:t>
      </w:r>
      <w:r w:rsidR="00282955">
        <w:rPr>
          <w:rFonts w:ascii="Tahoma" w:hAnsi="Tahoma" w:cs="Tahoma"/>
        </w:rPr>
        <w:t>au-dessus</w:t>
      </w:r>
      <w:r>
        <w:rPr>
          <w:rFonts w:ascii="Tahoma" w:hAnsi="Tahoma" w:cs="Tahoma"/>
        </w:rPr>
        <w:t xml:space="preserve"> de 154.60</w:t>
      </w:r>
    </w:p>
    <w:p w14:paraId="655E9AC0" w14:textId="4F40B9D5" w:rsidR="00723F77" w:rsidRDefault="00723F77" w:rsidP="00041E45">
      <w:pPr>
        <w:jc w:val="both"/>
        <w:rPr>
          <w:rFonts w:ascii="Tahoma" w:hAnsi="Tahoma" w:cs="Tahoma"/>
        </w:rPr>
      </w:pPr>
    </w:p>
    <w:p w14:paraId="01260563" w14:textId="698D8CFB" w:rsidR="00E3727C" w:rsidRDefault="00607EC7" w:rsidP="00041E45">
      <w:pPr>
        <w:jc w:val="both"/>
        <w:rPr>
          <w:rFonts w:ascii="Tahoma" w:hAnsi="Tahoma" w:cs="Tahoma"/>
        </w:rPr>
      </w:pPr>
      <w:r w:rsidRPr="00607EC7">
        <w:rPr>
          <w:rFonts w:ascii="Tahoma" w:hAnsi="Tahoma" w:cs="Tahoma"/>
          <w:u w:val="single"/>
        </w:rPr>
        <w:t>CONCLUSION</w:t>
      </w:r>
      <w:r>
        <w:rPr>
          <w:rFonts w:ascii="Tahoma" w:hAnsi="Tahoma" w:cs="Tahoma"/>
        </w:rPr>
        <w:t> : consolidation</w:t>
      </w:r>
      <w:r w:rsidR="00C557C8">
        <w:rPr>
          <w:rFonts w:ascii="Tahoma" w:hAnsi="Tahoma" w:cs="Tahoma"/>
        </w:rPr>
        <w:t xml:space="preserve">, voir </w:t>
      </w:r>
      <w:r>
        <w:rPr>
          <w:rFonts w:ascii="Tahoma" w:hAnsi="Tahoma" w:cs="Tahoma"/>
        </w:rPr>
        <w:t xml:space="preserve">rebond haussier si le contrat parvient à se maintenir </w:t>
      </w:r>
      <w:r w:rsidR="00282955">
        <w:rPr>
          <w:rFonts w:ascii="Tahoma" w:hAnsi="Tahoma" w:cs="Tahoma"/>
        </w:rPr>
        <w:t>au-dessus</w:t>
      </w:r>
      <w:r>
        <w:rPr>
          <w:rFonts w:ascii="Tahoma" w:hAnsi="Tahoma" w:cs="Tahoma"/>
        </w:rPr>
        <w:t xml:space="preserve"> de 153.05.</w:t>
      </w:r>
    </w:p>
    <w:p w14:paraId="7ECBFD62" w14:textId="76667017" w:rsidR="00723F77" w:rsidRDefault="00723F77" w:rsidP="00041E45">
      <w:pPr>
        <w:jc w:val="both"/>
        <w:rPr>
          <w:rFonts w:ascii="Tahoma" w:hAnsi="Tahoma" w:cs="Tahoma"/>
        </w:rPr>
      </w:pPr>
    </w:p>
    <w:p w14:paraId="52E72CAC" w14:textId="09A9A851" w:rsidR="00282955" w:rsidRDefault="00282955" w:rsidP="00041E45">
      <w:pPr>
        <w:jc w:val="both"/>
        <w:rPr>
          <w:rFonts w:ascii="Tahoma" w:hAnsi="Tahoma" w:cs="Tahoma"/>
        </w:rPr>
      </w:pPr>
    </w:p>
    <w:p w14:paraId="4CAAD922" w14:textId="5158BF8C" w:rsidR="00282955" w:rsidRDefault="00282955" w:rsidP="00041E45">
      <w:pPr>
        <w:jc w:val="both"/>
        <w:rPr>
          <w:rFonts w:ascii="Tahoma" w:hAnsi="Tahoma" w:cs="Tahoma"/>
        </w:rPr>
      </w:pPr>
    </w:p>
    <w:p w14:paraId="54B941AA" w14:textId="77777777" w:rsidR="00282955" w:rsidRDefault="00282955"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83740"/>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E221C"/>
    <w:rsid w:val="001E5588"/>
    <w:rsid w:val="001F650A"/>
    <w:rsid w:val="002003AD"/>
    <w:rsid w:val="002421FE"/>
    <w:rsid w:val="00262E25"/>
    <w:rsid w:val="00263ED0"/>
    <w:rsid w:val="00282955"/>
    <w:rsid w:val="002A1F8E"/>
    <w:rsid w:val="002B5CB1"/>
    <w:rsid w:val="002C0A31"/>
    <w:rsid w:val="002F54B0"/>
    <w:rsid w:val="00303214"/>
    <w:rsid w:val="0030643B"/>
    <w:rsid w:val="00337611"/>
    <w:rsid w:val="00340FD9"/>
    <w:rsid w:val="00352DD9"/>
    <w:rsid w:val="0036408D"/>
    <w:rsid w:val="003767E0"/>
    <w:rsid w:val="00397D3D"/>
    <w:rsid w:val="0040171B"/>
    <w:rsid w:val="00401D92"/>
    <w:rsid w:val="00466924"/>
    <w:rsid w:val="00467005"/>
    <w:rsid w:val="004A2D2D"/>
    <w:rsid w:val="004A5154"/>
    <w:rsid w:val="004F48EE"/>
    <w:rsid w:val="00531928"/>
    <w:rsid w:val="005440A4"/>
    <w:rsid w:val="00546A5A"/>
    <w:rsid w:val="00566580"/>
    <w:rsid w:val="00567AF3"/>
    <w:rsid w:val="00583BC8"/>
    <w:rsid w:val="00607EC7"/>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75566"/>
    <w:rsid w:val="00983B7D"/>
    <w:rsid w:val="009A37C2"/>
    <w:rsid w:val="009F3AB8"/>
    <w:rsid w:val="00A11606"/>
    <w:rsid w:val="00A46794"/>
    <w:rsid w:val="00A6401C"/>
    <w:rsid w:val="00A81AB7"/>
    <w:rsid w:val="00AA522C"/>
    <w:rsid w:val="00AE7F3B"/>
    <w:rsid w:val="00B34260"/>
    <w:rsid w:val="00B41C02"/>
    <w:rsid w:val="00B4335A"/>
    <w:rsid w:val="00B50E38"/>
    <w:rsid w:val="00B554B8"/>
    <w:rsid w:val="00B64EE0"/>
    <w:rsid w:val="00BB0E32"/>
    <w:rsid w:val="00BB6D9D"/>
    <w:rsid w:val="00BC77A5"/>
    <w:rsid w:val="00BD3FC1"/>
    <w:rsid w:val="00C17ED7"/>
    <w:rsid w:val="00C41F15"/>
    <w:rsid w:val="00C557C8"/>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7374A"/>
    <w:rsid w:val="00EB58BA"/>
    <w:rsid w:val="00F04A6E"/>
    <w:rsid w:val="00F04DEF"/>
    <w:rsid w:val="00F31070"/>
    <w:rsid w:val="00F53F10"/>
    <w:rsid w:val="00F636F8"/>
    <w:rsid w:val="00F94F76"/>
    <w:rsid w:val="00FA2C8E"/>
    <w:rsid w:val="00FC1860"/>
    <w:rsid w:val="00FC7EA5"/>
    <w:rsid w:val="00FE6A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4</Pages>
  <Words>434</Words>
  <Characters>2391</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104</cp:revision>
  <dcterms:created xsi:type="dcterms:W3CDTF">2021-11-25T09:44:00Z</dcterms:created>
  <dcterms:modified xsi:type="dcterms:W3CDTF">2022-05-01T15:19:00Z</dcterms:modified>
</cp:coreProperties>
</file>