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22E408" w14:textId="0B03E349" w:rsidR="00826F39" w:rsidRPr="00826F39" w:rsidRDefault="00826F39">
      <w:pPr>
        <w:rPr>
          <w:sz w:val="48"/>
          <w:szCs w:val="48"/>
          <w:u w:val="single"/>
        </w:rPr>
      </w:pPr>
      <w:r w:rsidRPr="00826F39">
        <w:rPr>
          <w:sz w:val="48"/>
          <w:szCs w:val="48"/>
        </w:rPr>
        <w:t xml:space="preserve">                         </w:t>
      </w:r>
      <w:r w:rsidR="00D569E8" w:rsidRPr="00826F39">
        <w:rPr>
          <w:sz w:val="48"/>
          <w:szCs w:val="48"/>
          <w:u w:val="single"/>
        </w:rPr>
        <w:t>Ether</w:t>
      </w:r>
      <w:r w:rsidR="00217087">
        <w:rPr>
          <w:sz w:val="48"/>
          <w:szCs w:val="48"/>
          <w:u w:val="single"/>
        </w:rPr>
        <w:t>e</w:t>
      </w:r>
      <w:r w:rsidR="00D569E8" w:rsidRPr="00826F39">
        <w:rPr>
          <w:sz w:val="48"/>
          <w:szCs w:val="48"/>
          <w:u w:val="single"/>
        </w:rPr>
        <w:t xml:space="preserve">um     </w:t>
      </w:r>
    </w:p>
    <w:p w14:paraId="31B1B352" w14:textId="210567CE" w:rsidR="0005563F" w:rsidRDefault="002B27CF">
      <w:pPr>
        <w:rPr>
          <w:sz w:val="32"/>
          <w:szCs w:val="32"/>
          <w:u w:val="single"/>
        </w:rPr>
      </w:pPr>
      <w:r>
        <w:rPr>
          <w:sz w:val="32"/>
          <w:szCs w:val="32"/>
          <w:u w:val="single"/>
        </w:rPr>
        <w:t>Week</w:t>
      </w:r>
    </w:p>
    <w:p w14:paraId="793D23D1" w14:textId="322D64A4" w:rsidR="00D569E8" w:rsidRDefault="00BF5ADB">
      <w:pPr>
        <w:rPr>
          <w:sz w:val="32"/>
          <w:szCs w:val="32"/>
          <w:u w:val="single"/>
        </w:rPr>
      </w:pPr>
      <w:r>
        <w:rPr>
          <w:noProof/>
        </w:rPr>
        <w:drawing>
          <wp:inline distT="0" distB="0" distL="0" distR="0" wp14:anchorId="127AACAA" wp14:editId="10C88839">
            <wp:extent cx="5760239" cy="3101340"/>
            <wp:effectExtent l="0" t="0" r="0" b="381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1644" cy="3102096"/>
                    </a:xfrm>
                    <a:prstGeom prst="rect">
                      <a:avLst/>
                    </a:prstGeom>
                    <a:noFill/>
                    <a:ln>
                      <a:noFill/>
                    </a:ln>
                  </pic:spPr>
                </pic:pic>
              </a:graphicData>
            </a:graphic>
          </wp:inline>
        </w:drawing>
      </w:r>
    </w:p>
    <w:p w14:paraId="7E3AB3CD" w14:textId="25875B50" w:rsidR="00D569E8" w:rsidRDefault="00D569E8">
      <w:pPr>
        <w:rPr>
          <w:sz w:val="32"/>
          <w:szCs w:val="32"/>
          <w:u w:val="single"/>
        </w:rPr>
      </w:pPr>
    </w:p>
    <w:p w14:paraId="117559AA" w14:textId="56247EC1" w:rsidR="00572015" w:rsidRDefault="004475E1" w:rsidP="00826F39">
      <w:pPr>
        <w:jc w:val="both"/>
        <w:rPr>
          <w:rFonts w:ascii="Tahoma" w:hAnsi="Tahoma" w:cs="Tahoma"/>
        </w:rPr>
      </w:pPr>
      <w:r>
        <w:rPr>
          <w:rFonts w:ascii="Tahoma" w:hAnsi="Tahoma" w:cs="Tahoma"/>
        </w:rPr>
        <w:t xml:space="preserve">La </w:t>
      </w:r>
      <w:r w:rsidR="00BF5ADB">
        <w:rPr>
          <w:rFonts w:ascii="Tahoma" w:hAnsi="Tahoma" w:cs="Tahoma"/>
        </w:rPr>
        <w:t>dernière chandelle se rapproche du marteau inversé. Elle montre la formation d’un courant acheteur sur le niveau de 2492. Une hausse la semaine prochaine entrainera des rachats de positions shorts.</w:t>
      </w:r>
      <w:r w:rsidR="00A0005D">
        <w:rPr>
          <w:rFonts w:ascii="Tahoma" w:hAnsi="Tahoma" w:cs="Tahoma"/>
        </w:rPr>
        <w:t xml:space="preserve"> Mais cette chandelle ne reste qu’une alerte. Les prix ont trouvé un support dans la zone des 50% de correction de hausse comprise entre 1906 et 3240</w:t>
      </w:r>
      <w:r w:rsidR="00A36BB6">
        <w:rPr>
          <w:rFonts w:ascii="Tahoma" w:hAnsi="Tahoma" w:cs="Tahoma"/>
        </w:rPr>
        <w:t>. Sans un revirement haussier, les vendeurs n’auront pas de raison de s’</w:t>
      </w:r>
      <w:r w:rsidR="00E26B2B">
        <w:rPr>
          <w:rFonts w:ascii="Tahoma" w:hAnsi="Tahoma" w:cs="Tahoma"/>
        </w:rPr>
        <w:t>inquiéter</w:t>
      </w:r>
      <w:r w:rsidR="00A36BB6">
        <w:rPr>
          <w:rFonts w:ascii="Tahoma" w:hAnsi="Tahoma" w:cs="Tahoma"/>
        </w:rPr>
        <w:t xml:space="preserve"> car c’est de cette inquiétude que viendra le rebond de la cryptomonnaie.</w:t>
      </w:r>
    </w:p>
    <w:p w14:paraId="089EC269" w14:textId="5E0A9C2C" w:rsidR="000D2186" w:rsidRDefault="000D2186" w:rsidP="00826F39">
      <w:pPr>
        <w:jc w:val="both"/>
        <w:rPr>
          <w:rFonts w:ascii="Tahoma" w:hAnsi="Tahoma" w:cs="Tahoma"/>
        </w:rPr>
      </w:pPr>
      <w:r>
        <w:rPr>
          <w:rFonts w:ascii="Tahoma" w:hAnsi="Tahoma" w:cs="Tahoma"/>
        </w:rPr>
        <w:t>Quoi qu’il en soit, les prix évoluent dans le nuage sans dynamique directionnelle soutenue. En cassure du point bas du marteau inversé, les prix trouveront 2415 en support de retracement</w:t>
      </w:r>
      <w:r w:rsidR="00A2261B">
        <w:rPr>
          <w:rFonts w:ascii="Tahoma" w:hAnsi="Tahoma" w:cs="Tahoma"/>
        </w:rPr>
        <w:t>.</w:t>
      </w:r>
    </w:p>
    <w:p w14:paraId="581625D7" w14:textId="50AF5546" w:rsidR="00A2261B" w:rsidRDefault="00A2261B" w:rsidP="00826F39">
      <w:pPr>
        <w:jc w:val="both"/>
        <w:rPr>
          <w:rFonts w:ascii="Tahoma" w:hAnsi="Tahoma" w:cs="Tahoma"/>
        </w:rPr>
      </w:pPr>
      <w:r>
        <w:rPr>
          <w:rFonts w:ascii="Tahoma" w:hAnsi="Tahoma" w:cs="Tahoma"/>
        </w:rPr>
        <w:t>Le plat de KS prolongera sa résistance encore plusieurs semaines sur 3063.</w:t>
      </w:r>
    </w:p>
    <w:p w14:paraId="711C3EDE" w14:textId="319D2609" w:rsidR="00572015" w:rsidRDefault="00572015" w:rsidP="00960940">
      <w:pPr>
        <w:jc w:val="both"/>
        <w:rPr>
          <w:rFonts w:ascii="Tahoma" w:hAnsi="Tahoma" w:cs="Tahoma"/>
        </w:rPr>
      </w:pPr>
    </w:p>
    <w:p w14:paraId="5D1B55FE" w14:textId="7CBEEA94" w:rsidR="00DA4851" w:rsidRDefault="00DA4851" w:rsidP="007F6E22">
      <w:pPr>
        <w:jc w:val="both"/>
        <w:rPr>
          <w:rFonts w:ascii="Tahoma" w:hAnsi="Tahoma" w:cs="Tahoma"/>
        </w:rPr>
      </w:pPr>
    </w:p>
    <w:p w14:paraId="433A32E4" w14:textId="2ABF29E0" w:rsidR="00DA4851" w:rsidRDefault="00DA4851" w:rsidP="007F6E22">
      <w:pPr>
        <w:jc w:val="both"/>
        <w:rPr>
          <w:rFonts w:ascii="Tahoma" w:hAnsi="Tahoma" w:cs="Tahoma"/>
        </w:rPr>
      </w:pPr>
    </w:p>
    <w:p w14:paraId="02B63013" w14:textId="225EF723" w:rsidR="00DA4851" w:rsidRDefault="00DA4851" w:rsidP="007F6E22">
      <w:pPr>
        <w:jc w:val="both"/>
        <w:rPr>
          <w:rFonts w:ascii="Tahoma" w:hAnsi="Tahoma" w:cs="Tahoma"/>
        </w:rPr>
      </w:pPr>
    </w:p>
    <w:p w14:paraId="387A5E74" w14:textId="77777777" w:rsidR="00DA4851" w:rsidRDefault="00DA4851" w:rsidP="007F6E22">
      <w:pPr>
        <w:jc w:val="both"/>
        <w:rPr>
          <w:rFonts w:ascii="Tahoma" w:hAnsi="Tahoma" w:cs="Tahoma"/>
        </w:rPr>
      </w:pPr>
    </w:p>
    <w:p w14:paraId="303BAFF7" w14:textId="4066100E" w:rsidR="00DA4851" w:rsidRPr="00DA4851" w:rsidRDefault="002B27CF" w:rsidP="007F6E22">
      <w:pPr>
        <w:jc w:val="both"/>
        <w:rPr>
          <w:sz w:val="32"/>
          <w:szCs w:val="32"/>
          <w:u w:val="single"/>
        </w:rPr>
      </w:pPr>
      <w:r>
        <w:rPr>
          <w:sz w:val="32"/>
          <w:szCs w:val="32"/>
          <w:u w:val="single"/>
        </w:rPr>
        <w:t>Day</w:t>
      </w:r>
    </w:p>
    <w:p w14:paraId="592A8BBD" w14:textId="2329EE3E" w:rsidR="00DA4851" w:rsidRDefault="00DA4851" w:rsidP="007F6E22">
      <w:pPr>
        <w:jc w:val="both"/>
        <w:rPr>
          <w:rFonts w:ascii="Tahoma" w:hAnsi="Tahoma" w:cs="Tahoma"/>
        </w:rPr>
      </w:pPr>
    </w:p>
    <w:p w14:paraId="63BB7B99" w14:textId="114F8927" w:rsidR="00DA4851" w:rsidRDefault="00C733B2" w:rsidP="007F6E22">
      <w:pPr>
        <w:jc w:val="both"/>
        <w:rPr>
          <w:rFonts w:ascii="Tahoma" w:hAnsi="Tahoma" w:cs="Tahoma"/>
        </w:rPr>
      </w:pPr>
      <w:r>
        <w:rPr>
          <w:noProof/>
        </w:rPr>
        <w:lastRenderedPageBreak/>
        <w:drawing>
          <wp:inline distT="0" distB="0" distL="0" distR="0" wp14:anchorId="334D6806" wp14:editId="40186817">
            <wp:extent cx="5760691" cy="3383280"/>
            <wp:effectExtent l="0" t="0" r="0" b="762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6176" cy="3386501"/>
                    </a:xfrm>
                    <a:prstGeom prst="rect">
                      <a:avLst/>
                    </a:prstGeom>
                    <a:noFill/>
                    <a:ln>
                      <a:noFill/>
                    </a:ln>
                  </pic:spPr>
                </pic:pic>
              </a:graphicData>
            </a:graphic>
          </wp:inline>
        </w:drawing>
      </w:r>
    </w:p>
    <w:p w14:paraId="37FBCC35" w14:textId="77777777" w:rsidR="00446A57" w:rsidRDefault="00EE05EF" w:rsidP="00826F39">
      <w:pPr>
        <w:jc w:val="both"/>
        <w:rPr>
          <w:rFonts w:ascii="Tahoma" w:hAnsi="Tahoma" w:cs="Tahoma"/>
        </w:rPr>
      </w:pPr>
      <w:r>
        <w:rPr>
          <w:rFonts w:ascii="Tahoma" w:hAnsi="Tahoma" w:cs="Tahoma"/>
        </w:rPr>
        <w:t>Le court terme traduit un manque de volonté haussière. Comme le montre le graphique, l’apparition d’une chandelle blanche relativement longue est systématiquement suivie d’une bougie noire. Ces actions des prix laissent peu de place au développement d’une tendance haussière capable de venir à bout de la résistance hebdomadaire de 3063.</w:t>
      </w:r>
    </w:p>
    <w:p w14:paraId="31EEC55F" w14:textId="18DB45DB" w:rsidR="00342AFF" w:rsidRDefault="00446A57" w:rsidP="00826F39">
      <w:pPr>
        <w:jc w:val="both"/>
        <w:rPr>
          <w:rFonts w:ascii="Tahoma" w:hAnsi="Tahoma" w:cs="Tahoma"/>
        </w:rPr>
      </w:pPr>
      <w:r>
        <w:rPr>
          <w:rFonts w:ascii="Tahoma" w:hAnsi="Tahoma" w:cs="Tahoma"/>
        </w:rPr>
        <w:t xml:space="preserve">Sur cette unité de temps, </w:t>
      </w:r>
      <w:bookmarkStart w:id="0" w:name="_Hlk102843848"/>
      <w:r>
        <w:rPr>
          <w:rFonts w:ascii="Tahoma" w:hAnsi="Tahoma" w:cs="Tahoma"/>
        </w:rPr>
        <w:t>le plat de SSB de 2643 servira de résistance</w:t>
      </w:r>
      <w:r w:rsidR="0000617F" w:rsidRPr="0000617F">
        <w:rPr>
          <w:rFonts w:ascii="Tahoma" w:hAnsi="Tahoma" w:cs="Tahoma"/>
        </w:rPr>
        <w:t xml:space="preserve"> </w:t>
      </w:r>
      <w:r w:rsidR="0000617F">
        <w:rPr>
          <w:rFonts w:ascii="Tahoma" w:hAnsi="Tahoma" w:cs="Tahoma"/>
        </w:rPr>
        <w:t>pour la semaine</w:t>
      </w:r>
      <w:r>
        <w:rPr>
          <w:rFonts w:ascii="Tahoma" w:hAnsi="Tahoma" w:cs="Tahoma"/>
        </w:rPr>
        <w:t xml:space="preserve">. Cela impliquera un biais neutre à baissier sous ce point </w:t>
      </w:r>
      <w:bookmarkStart w:id="1" w:name="_Hlk102917543"/>
      <w:r w:rsidR="0000617F">
        <w:rPr>
          <w:rFonts w:ascii="Tahoma" w:hAnsi="Tahoma" w:cs="Tahoma"/>
        </w:rPr>
        <w:t xml:space="preserve">avec un </w:t>
      </w:r>
      <w:r w:rsidR="00CE24F9">
        <w:rPr>
          <w:rFonts w:ascii="Tahoma" w:hAnsi="Tahoma" w:cs="Tahoma"/>
        </w:rPr>
        <w:t xml:space="preserve">net </w:t>
      </w:r>
      <w:r w:rsidR="0000617F">
        <w:rPr>
          <w:rFonts w:ascii="Tahoma" w:hAnsi="Tahoma" w:cs="Tahoma"/>
        </w:rPr>
        <w:t>avantage pour la baisse en cassure de 2440</w:t>
      </w:r>
      <w:bookmarkEnd w:id="1"/>
      <w:r>
        <w:rPr>
          <w:rFonts w:ascii="Tahoma" w:hAnsi="Tahoma" w:cs="Tahoma"/>
        </w:rPr>
        <w:t>.</w:t>
      </w:r>
      <w:r w:rsidR="00EE05EF">
        <w:rPr>
          <w:rFonts w:ascii="Tahoma" w:hAnsi="Tahoma" w:cs="Tahoma"/>
        </w:rPr>
        <w:t xml:space="preserve"> </w:t>
      </w:r>
      <w:r w:rsidR="00C07406">
        <w:rPr>
          <w:rFonts w:ascii="Tahoma" w:hAnsi="Tahoma" w:cs="Tahoma"/>
        </w:rPr>
        <w:t xml:space="preserve"> </w:t>
      </w:r>
    </w:p>
    <w:bookmarkEnd w:id="0"/>
    <w:p w14:paraId="6C5EE48F" w14:textId="77777777" w:rsidR="00342AFF" w:rsidRDefault="00342AFF" w:rsidP="007F6E22">
      <w:pPr>
        <w:jc w:val="both"/>
        <w:rPr>
          <w:rFonts w:ascii="Tahoma" w:hAnsi="Tahoma" w:cs="Tahoma"/>
        </w:rPr>
      </w:pPr>
    </w:p>
    <w:p w14:paraId="4B191CD2" w14:textId="6046D703" w:rsidR="00446A57" w:rsidRDefault="005E0F40" w:rsidP="00446A57">
      <w:pPr>
        <w:jc w:val="both"/>
        <w:rPr>
          <w:rFonts w:ascii="Tahoma" w:hAnsi="Tahoma" w:cs="Tahoma"/>
        </w:rPr>
      </w:pPr>
      <w:r>
        <w:rPr>
          <w:rFonts w:ascii="Tahoma" w:hAnsi="Tahoma" w:cs="Tahoma"/>
          <w:u w:val="single"/>
        </w:rPr>
        <w:t>CONCLUSION</w:t>
      </w:r>
      <w:r>
        <w:rPr>
          <w:rFonts w:ascii="Tahoma" w:hAnsi="Tahoma" w:cs="Tahoma"/>
        </w:rPr>
        <w:t> :</w:t>
      </w:r>
      <w:r w:rsidR="00446A57" w:rsidRPr="00446A57">
        <w:rPr>
          <w:rFonts w:ascii="Tahoma" w:hAnsi="Tahoma" w:cs="Tahoma"/>
        </w:rPr>
        <w:t xml:space="preserve"> </w:t>
      </w:r>
      <w:r w:rsidR="00446A57">
        <w:rPr>
          <w:rFonts w:ascii="Tahoma" w:hAnsi="Tahoma" w:cs="Tahoma"/>
        </w:rPr>
        <w:t>Le plat de SSB de 2643 servira pour la semaine de résistance. Il avantagera  le biais neutre à baissier sous ce point</w:t>
      </w:r>
      <w:r w:rsidR="006A28BD" w:rsidRPr="006A28BD">
        <w:rPr>
          <w:rFonts w:ascii="Tahoma" w:hAnsi="Tahoma" w:cs="Tahoma"/>
        </w:rPr>
        <w:t xml:space="preserve"> </w:t>
      </w:r>
      <w:r w:rsidR="006A28BD">
        <w:rPr>
          <w:rFonts w:ascii="Tahoma" w:hAnsi="Tahoma" w:cs="Tahoma"/>
        </w:rPr>
        <w:t>avec un net avantage pour la baisse en cassure de 2440</w:t>
      </w:r>
      <w:r w:rsidR="00446A57">
        <w:rPr>
          <w:rFonts w:ascii="Tahoma" w:hAnsi="Tahoma" w:cs="Tahoma"/>
        </w:rPr>
        <w:t xml:space="preserve">.  </w:t>
      </w:r>
    </w:p>
    <w:p w14:paraId="215A4EB5" w14:textId="1D738D6A" w:rsidR="005E0F40" w:rsidRDefault="005E0F40" w:rsidP="005E0F40">
      <w:pPr>
        <w:jc w:val="both"/>
        <w:rPr>
          <w:rFonts w:ascii="Tahoma" w:hAnsi="Tahoma" w:cs="Tahoma"/>
        </w:rPr>
      </w:pPr>
    </w:p>
    <w:p w14:paraId="1FA3AA99" w14:textId="6D2D2833" w:rsidR="008567DE" w:rsidRDefault="008567DE" w:rsidP="007F6E22">
      <w:pPr>
        <w:jc w:val="both"/>
        <w:rPr>
          <w:rFonts w:ascii="Tahoma" w:hAnsi="Tahoma" w:cs="Tahoma"/>
        </w:rPr>
      </w:pPr>
    </w:p>
    <w:p w14:paraId="786C2CCD" w14:textId="68FFB379" w:rsidR="00D45A59" w:rsidRDefault="00D45A59" w:rsidP="007F6E22">
      <w:pPr>
        <w:jc w:val="both"/>
        <w:rPr>
          <w:rFonts w:ascii="Tahoma" w:hAnsi="Tahoma" w:cs="Tahoma"/>
        </w:rPr>
      </w:pPr>
    </w:p>
    <w:p w14:paraId="349524AA" w14:textId="58AC6353" w:rsidR="00D45A59" w:rsidRDefault="00D45A59" w:rsidP="007F6E22">
      <w:pPr>
        <w:jc w:val="both"/>
        <w:rPr>
          <w:rFonts w:ascii="Tahoma" w:hAnsi="Tahoma" w:cs="Tahoma"/>
        </w:rPr>
      </w:pPr>
    </w:p>
    <w:p w14:paraId="686B51A0" w14:textId="7827453B" w:rsidR="00D45A59" w:rsidRDefault="00D45A59" w:rsidP="007F6E22">
      <w:pPr>
        <w:jc w:val="both"/>
        <w:rPr>
          <w:rFonts w:ascii="Tahoma" w:hAnsi="Tahoma" w:cs="Tahoma"/>
        </w:rPr>
      </w:pPr>
    </w:p>
    <w:p w14:paraId="2DFA1747"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color w:val="993366"/>
          <w:sz w:val="24"/>
          <w:szCs w:val="24"/>
          <w:lang w:eastAsia="fr-FR"/>
        </w:rPr>
        <w:t>TS (mauve)</w:t>
      </w:r>
      <w:r w:rsidRPr="00D45A59">
        <w:rPr>
          <w:rFonts w:ascii="Arial" w:eastAsia="Calibri" w:hAnsi="Arial" w:cs="Arial"/>
          <w:b/>
          <w:i/>
          <w:sz w:val="24"/>
          <w:szCs w:val="24"/>
          <w:lang w:eastAsia="fr-FR"/>
        </w:rPr>
        <w:t xml:space="preserve"> =  </w:t>
      </w:r>
      <w:r w:rsidRPr="00D45A59">
        <w:rPr>
          <w:rFonts w:ascii="Arial" w:eastAsia="Calibri" w:hAnsi="Arial" w:cs="Arial"/>
          <w:b/>
          <w:i/>
          <w:sz w:val="24"/>
          <w:szCs w:val="24"/>
          <w:u w:val="single"/>
          <w:lang w:eastAsia="fr-FR"/>
        </w:rPr>
        <w:t>plus haut + plus bas</w:t>
      </w:r>
      <w:r w:rsidRPr="00D45A59">
        <w:rPr>
          <w:rFonts w:ascii="Arial" w:eastAsia="Calibri" w:hAnsi="Arial" w:cs="Arial"/>
          <w:b/>
          <w:i/>
          <w:sz w:val="24"/>
          <w:szCs w:val="24"/>
          <w:lang w:eastAsia="fr-FR"/>
        </w:rPr>
        <w:t xml:space="preserve">                    sur les 9 dernières périodes</w:t>
      </w:r>
    </w:p>
    <w:p w14:paraId="6E5BBF0B"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 xml:space="preserve">                                   2  </w:t>
      </w:r>
    </w:p>
    <w:p w14:paraId="50BCECB0"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7AD0FC84"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color w:val="008000"/>
          <w:sz w:val="24"/>
          <w:szCs w:val="24"/>
          <w:lang w:eastAsia="fr-FR"/>
        </w:rPr>
        <w:t>KS (vert)</w:t>
      </w:r>
      <w:r w:rsidRPr="00D45A59">
        <w:rPr>
          <w:rFonts w:ascii="Arial" w:eastAsia="Calibri" w:hAnsi="Arial" w:cs="Arial"/>
          <w:b/>
          <w:i/>
          <w:sz w:val="24"/>
          <w:szCs w:val="24"/>
          <w:lang w:eastAsia="fr-FR"/>
        </w:rPr>
        <w:t xml:space="preserve"> = </w:t>
      </w:r>
      <w:r w:rsidRPr="00D45A59">
        <w:rPr>
          <w:rFonts w:ascii="Arial" w:eastAsia="Calibri" w:hAnsi="Arial" w:cs="Arial"/>
          <w:b/>
          <w:i/>
          <w:sz w:val="24"/>
          <w:szCs w:val="24"/>
          <w:u w:val="single"/>
          <w:lang w:eastAsia="fr-FR"/>
        </w:rPr>
        <w:t>plus haut + plus bas</w:t>
      </w:r>
      <w:r w:rsidRPr="00D45A59">
        <w:rPr>
          <w:rFonts w:ascii="Arial" w:eastAsia="Calibri" w:hAnsi="Arial" w:cs="Arial"/>
          <w:b/>
          <w:i/>
          <w:sz w:val="24"/>
          <w:szCs w:val="24"/>
          <w:lang w:eastAsia="fr-FR"/>
        </w:rPr>
        <w:t xml:space="preserve">                          sur les 26 dernières périodes</w:t>
      </w:r>
    </w:p>
    <w:p w14:paraId="3E745953"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 xml:space="preserve">                                   2  </w:t>
      </w:r>
    </w:p>
    <w:p w14:paraId="1093AB48"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color w:val="FF6600"/>
          <w:sz w:val="24"/>
          <w:szCs w:val="24"/>
          <w:lang w:eastAsia="fr-FR"/>
        </w:rPr>
        <w:t>LS (orange)</w:t>
      </w:r>
      <w:r w:rsidRPr="00D45A59">
        <w:rPr>
          <w:rFonts w:ascii="Arial" w:eastAsia="Calibri" w:hAnsi="Arial" w:cs="Arial"/>
          <w:b/>
          <w:i/>
          <w:sz w:val="24"/>
          <w:szCs w:val="24"/>
          <w:lang w:eastAsia="fr-FR"/>
        </w:rPr>
        <w:t xml:space="preserve"> = clôture                                           décalée de 26 périodes en arrière</w:t>
      </w:r>
    </w:p>
    <w:p w14:paraId="0C1EB2BD"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10BBBE60"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 xml:space="preserve">SSA (bordure du nuage) =   </w:t>
      </w:r>
      <w:r w:rsidRPr="00D45A59">
        <w:rPr>
          <w:rFonts w:ascii="Arial" w:eastAsia="Calibri" w:hAnsi="Arial" w:cs="Arial"/>
          <w:b/>
          <w:i/>
          <w:sz w:val="24"/>
          <w:szCs w:val="24"/>
          <w:u w:val="single"/>
          <w:lang w:eastAsia="fr-FR"/>
        </w:rPr>
        <w:t>TS + KS</w:t>
      </w:r>
      <w:r w:rsidRPr="00D45A59">
        <w:rPr>
          <w:rFonts w:ascii="Arial" w:eastAsia="Calibri" w:hAnsi="Arial" w:cs="Arial"/>
          <w:b/>
          <w:i/>
          <w:sz w:val="24"/>
          <w:szCs w:val="24"/>
          <w:lang w:eastAsia="fr-FR"/>
        </w:rPr>
        <w:t xml:space="preserve">                   projetée 26 périodes en avant</w:t>
      </w:r>
    </w:p>
    <w:p w14:paraId="0D8327D1"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lastRenderedPageBreak/>
        <w:t xml:space="preserve">                                                 2</w:t>
      </w:r>
    </w:p>
    <w:p w14:paraId="7B9B4694"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0EEF8AD0" w14:textId="77777777" w:rsidR="00D45A59" w:rsidRPr="00D45A59" w:rsidRDefault="00D45A59" w:rsidP="00D45A59">
      <w:pPr>
        <w:spacing w:after="0" w:line="240" w:lineRule="auto"/>
        <w:jc w:val="both"/>
        <w:rPr>
          <w:rFonts w:ascii="Arial" w:eastAsia="Calibri" w:hAnsi="Arial" w:cs="Arial"/>
          <w:b/>
          <w:i/>
          <w:sz w:val="24"/>
          <w:szCs w:val="24"/>
          <w:u w:val="single"/>
          <w:lang w:eastAsia="fr-FR"/>
        </w:rPr>
      </w:pPr>
      <w:r w:rsidRPr="00D45A59">
        <w:rPr>
          <w:rFonts w:ascii="Arial" w:eastAsia="Calibri" w:hAnsi="Arial" w:cs="Arial"/>
          <w:b/>
          <w:i/>
          <w:sz w:val="24"/>
          <w:szCs w:val="24"/>
          <w:lang w:eastAsia="fr-FR"/>
        </w:rPr>
        <w:t xml:space="preserve">SSB (bordure opposée du nuage) = </w:t>
      </w:r>
      <w:r w:rsidRPr="00D45A59">
        <w:rPr>
          <w:rFonts w:ascii="Arial" w:eastAsia="Calibri" w:hAnsi="Arial" w:cs="Arial"/>
          <w:b/>
          <w:i/>
          <w:sz w:val="24"/>
          <w:szCs w:val="24"/>
          <w:u w:val="single"/>
          <w:lang w:eastAsia="fr-FR"/>
        </w:rPr>
        <w:t>plus haut + plus bas</w:t>
      </w:r>
      <w:r w:rsidRPr="00D45A59">
        <w:rPr>
          <w:rFonts w:ascii="Arial" w:eastAsia="Calibri" w:hAnsi="Arial" w:cs="Arial"/>
          <w:b/>
          <w:i/>
          <w:sz w:val="24"/>
          <w:szCs w:val="24"/>
          <w:lang w:eastAsia="fr-FR"/>
        </w:rPr>
        <w:t xml:space="preserve">     sur les 52 dernières </w:t>
      </w:r>
    </w:p>
    <w:p w14:paraId="16AD0889"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 xml:space="preserve">                                                                        2</w:t>
      </w:r>
    </w:p>
    <w:p w14:paraId="072D2160"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69661CCA"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périodes, projetées 26 périodes en avant</w:t>
      </w:r>
    </w:p>
    <w:p w14:paraId="0D6B6513"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6C114EC2"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6F0765E7"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u w:val="single"/>
          <w:lang w:eastAsia="fr-FR"/>
        </w:rPr>
        <w:t>Unités de temps</w:t>
      </w:r>
      <w:r w:rsidRPr="00D45A59">
        <w:rPr>
          <w:rFonts w:ascii="Arial" w:eastAsia="Calibri" w:hAnsi="Arial" w:cs="Arial"/>
          <w:b/>
          <w:i/>
          <w:sz w:val="24"/>
          <w:szCs w:val="24"/>
          <w:lang w:eastAsia="fr-FR"/>
        </w:rPr>
        <w:t xml:space="preserve"> : </w:t>
      </w:r>
    </w:p>
    <w:p w14:paraId="09DD51D2"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0A98A55B"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W: weekly</w:t>
      </w:r>
    </w:p>
    <w:p w14:paraId="1D0C5327"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7CDEB064"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D: daily</w:t>
      </w:r>
    </w:p>
    <w:p w14:paraId="0621F97F"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606D38B4"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 xml:space="preserve">H4: base 4 heures  </w:t>
      </w:r>
    </w:p>
    <w:p w14:paraId="59253ABD"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044B4D57"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H1 : base horaire</w:t>
      </w:r>
    </w:p>
    <w:p w14:paraId="57E2AC90"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2E0305BA"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30M : base 30 minutes</w:t>
      </w:r>
    </w:p>
    <w:p w14:paraId="44FF7C3F"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1597EE09" w14:textId="77777777" w:rsidR="00D45A59" w:rsidRPr="00D569E8" w:rsidRDefault="00D45A59" w:rsidP="007F6E22">
      <w:pPr>
        <w:jc w:val="both"/>
        <w:rPr>
          <w:rFonts w:ascii="Tahoma" w:hAnsi="Tahoma" w:cs="Tahoma"/>
        </w:rPr>
      </w:pPr>
    </w:p>
    <w:sectPr w:rsidR="00D45A59" w:rsidRPr="00D569E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9E8"/>
    <w:rsid w:val="0000617F"/>
    <w:rsid w:val="00046E8B"/>
    <w:rsid w:val="0005563F"/>
    <w:rsid w:val="00092058"/>
    <w:rsid w:val="000D2186"/>
    <w:rsid w:val="00110ADF"/>
    <w:rsid w:val="00113C92"/>
    <w:rsid w:val="00140A73"/>
    <w:rsid w:val="00217087"/>
    <w:rsid w:val="002244B9"/>
    <w:rsid w:val="00264400"/>
    <w:rsid w:val="002A5DC5"/>
    <w:rsid w:val="002B27CF"/>
    <w:rsid w:val="002C4CD0"/>
    <w:rsid w:val="002E7AF3"/>
    <w:rsid w:val="00306FDE"/>
    <w:rsid w:val="00342AFF"/>
    <w:rsid w:val="00394D2F"/>
    <w:rsid w:val="003D1D17"/>
    <w:rsid w:val="00446A57"/>
    <w:rsid w:val="004475E1"/>
    <w:rsid w:val="00447D4B"/>
    <w:rsid w:val="005440A4"/>
    <w:rsid w:val="00563CB1"/>
    <w:rsid w:val="00572015"/>
    <w:rsid w:val="005E0F40"/>
    <w:rsid w:val="006A28BD"/>
    <w:rsid w:val="00760FE2"/>
    <w:rsid w:val="007923BF"/>
    <w:rsid w:val="007F6E22"/>
    <w:rsid w:val="0081635D"/>
    <w:rsid w:val="00826F39"/>
    <w:rsid w:val="008567DE"/>
    <w:rsid w:val="008F21BD"/>
    <w:rsid w:val="008F230F"/>
    <w:rsid w:val="008F7E7D"/>
    <w:rsid w:val="0094194C"/>
    <w:rsid w:val="00960940"/>
    <w:rsid w:val="00967DAB"/>
    <w:rsid w:val="009B7066"/>
    <w:rsid w:val="00A0005D"/>
    <w:rsid w:val="00A04A9A"/>
    <w:rsid w:val="00A2261B"/>
    <w:rsid w:val="00A36BB6"/>
    <w:rsid w:val="00A95C6D"/>
    <w:rsid w:val="00BB4354"/>
    <w:rsid w:val="00BF5ADB"/>
    <w:rsid w:val="00C07406"/>
    <w:rsid w:val="00C733B2"/>
    <w:rsid w:val="00CE24F9"/>
    <w:rsid w:val="00D45A59"/>
    <w:rsid w:val="00D569E8"/>
    <w:rsid w:val="00DA4851"/>
    <w:rsid w:val="00DE3513"/>
    <w:rsid w:val="00E26B2B"/>
    <w:rsid w:val="00EE05EF"/>
    <w:rsid w:val="00F17ECE"/>
    <w:rsid w:val="00F94E2A"/>
    <w:rsid w:val="00FA6717"/>
    <w:rsid w:val="00FF2F6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BA1F0"/>
  <w15:chartTrackingRefBased/>
  <w15:docId w15:val="{1404FF0B-E1DD-4054-9133-ABC64BD41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5055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4C70A5-019E-481D-A4D9-EBB2C50DC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340</TotalTime>
  <Pages>3</Pages>
  <Words>361</Words>
  <Characters>1988</Characters>
  <Application>Microsoft Office Word</Application>
  <DocSecurity>0</DocSecurity>
  <Lines>16</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50</cp:revision>
  <dcterms:created xsi:type="dcterms:W3CDTF">2021-12-13T10:46:00Z</dcterms:created>
  <dcterms:modified xsi:type="dcterms:W3CDTF">2022-05-08T13:52:00Z</dcterms:modified>
</cp:coreProperties>
</file>