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094BF8A" w14:textId="7CB3900E" w:rsidR="00902D2F" w:rsidRPr="00263ED0" w:rsidRDefault="00263ED0" w:rsidP="00B41C02">
      <w:pPr>
        <w:jc w:val="both"/>
        <w:rPr>
          <w:rFonts w:ascii="Tahoma" w:hAnsi="Tahoma" w:cs="Tahoma"/>
          <w:sz w:val="48"/>
          <w:szCs w:val="48"/>
          <w:u w:val="single"/>
        </w:rPr>
      </w:pPr>
      <w:r>
        <w:rPr>
          <w:rFonts w:ascii="Tahoma" w:hAnsi="Tahoma" w:cs="Tahoma"/>
        </w:rPr>
        <w:t xml:space="preserve">                                      </w:t>
      </w:r>
      <w:r w:rsidR="003767E0">
        <w:rPr>
          <w:rFonts w:ascii="Tahoma" w:hAnsi="Tahoma" w:cs="Tahoma"/>
          <w:sz w:val="48"/>
          <w:szCs w:val="48"/>
          <w:u w:val="single"/>
        </w:rPr>
        <w:t>Bund</w:t>
      </w:r>
      <w:r w:rsidRPr="00263ED0">
        <w:rPr>
          <w:rFonts w:ascii="Tahoma" w:hAnsi="Tahoma" w:cs="Tahoma"/>
          <w:sz w:val="48"/>
          <w:szCs w:val="48"/>
          <w:u w:val="single"/>
        </w:rPr>
        <w:t xml:space="preserve"> </w:t>
      </w:r>
    </w:p>
    <w:p w14:paraId="6A0F7EC2" w14:textId="1956B176" w:rsidR="00902D2F" w:rsidRPr="00041E45" w:rsidRDefault="00902D2F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Week</w:t>
      </w:r>
    </w:p>
    <w:p w14:paraId="2862B446" w14:textId="00E6355E" w:rsidR="00902D2F" w:rsidRDefault="00487E01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00269ECC" wp14:editId="24A1D120">
            <wp:extent cx="5760720" cy="3627120"/>
            <wp:effectExtent l="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627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85822D0" w14:textId="5C531005" w:rsidR="006E32BB" w:rsidRDefault="00487E01" w:rsidP="00B41C02">
      <w:pPr>
        <w:jc w:val="both"/>
        <w:rPr>
          <w:rFonts w:ascii="Tahoma" w:hAnsi="Tahoma" w:cs="Tahoma"/>
          <w:sz w:val="36"/>
          <w:szCs w:val="36"/>
        </w:rPr>
      </w:pPr>
      <w:r>
        <w:rPr>
          <w:rFonts w:ascii="Tahoma" w:hAnsi="Tahoma" w:cs="Tahoma"/>
          <w:sz w:val="36"/>
          <w:szCs w:val="36"/>
        </w:rPr>
        <w:t>ZOOM</w:t>
      </w:r>
    </w:p>
    <w:p w14:paraId="799A774A" w14:textId="01845FDD" w:rsidR="00487E01" w:rsidRDefault="00487E01" w:rsidP="00B41C02">
      <w:pPr>
        <w:jc w:val="both"/>
        <w:rPr>
          <w:rFonts w:ascii="Tahoma" w:hAnsi="Tahoma" w:cs="Tahoma"/>
          <w:sz w:val="36"/>
          <w:szCs w:val="36"/>
        </w:rPr>
      </w:pPr>
      <w:r>
        <w:rPr>
          <w:noProof/>
        </w:rPr>
        <w:drawing>
          <wp:inline distT="0" distB="0" distL="0" distR="0" wp14:anchorId="07404604" wp14:editId="4FB7AE44">
            <wp:extent cx="5760720" cy="3749040"/>
            <wp:effectExtent l="0" t="0" r="0" b="381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3749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3640C2C" w14:textId="77777777" w:rsidR="00487E01" w:rsidRPr="00487E01" w:rsidRDefault="00487E01" w:rsidP="00B41C02">
      <w:pPr>
        <w:jc w:val="both"/>
        <w:rPr>
          <w:rFonts w:ascii="Tahoma" w:hAnsi="Tahoma" w:cs="Tahoma"/>
          <w:sz w:val="36"/>
          <w:szCs w:val="36"/>
        </w:rPr>
      </w:pPr>
    </w:p>
    <w:p w14:paraId="1DF3BB3D" w14:textId="3201E084" w:rsidR="0011624E" w:rsidRDefault="00BB6D9D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</w:t>
      </w:r>
      <w:r w:rsidR="0011624E">
        <w:rPr>
          <w:rFonts w:ascii="Tahoma" w:hAnsi="Tahoma" w:cs="Tahoma"/>
        </w:rPr>
        <w:t>Même si l</w:t>
      </w:r>
      <w:r w:rsidR="00CC53D1">
        <w:rPr>
          <w:rFonts w:ascii="Tahoma" w:hAnsi="Tahoma" w:cs="Tahoma"/>
        </w:rPr>
        <w:t>’alerte</w:t>
      </w:r>
      <w:r w:rsidR="0011624E">
        <w:rPr>
          <w:rFonts w:ascii="Tahoma" w:hAnsi="Tahoma" w:cs="Tahoma"/>
        </w:rPr>
        <w:t xml:space="preserve"> haussière</w:t>
      </w:r>
      <w:r w:rsidR="00CC53D1">
        <w:rPr>
          <w:rFonts w:ascii="Tahoma" w:hAnsi="Tahoma" w:cs="Tahoma"/>
        </w:rPr>
        <w:t xml:space="preserve"> lancé</w:t>
      </w:r>
      <w:r w:rsidR="0011624E">
        <w:rPr>
          <w:rFonts w:ascii="Tahoma" w:hAnsi="Tahoma" w:cs="Tahoma"/>
        </w:rPr>
        <w:t>e</w:t>
      </w:r>
      <w:r w:rsidR="00CC53D1">
        <w:rPr>
          <w:rFonts w:ascii="Tahoma" w:hAnsi="Tahoma" w:cs="Tahoma"/>
        </w:rPr>
        <w:t xml:space="preserve"> il y a quelques semaines</w:t>
      </w:r>
      <w:r w:rsidR="00530491">
        <w:rPr>
          <w:rFonts w:ascii="Tahoma" w:hAnsi="Tahoma" w:cs="Tahoma"/>
        </w:rPr>
        <w:t xml:space="preserve"> (</w:t>
      </w:r>
      <w:r w:rsidR="00CC53D1">
        <w:rPr>
          <w:rFonts w:ascii="Tahoma" w:hAnsi="Tahoma" w:cs="Tahoma"/>
        </w:rPr>
        <w:t>creux en pince agrémenté d’un marteau inversé</w:t>
      </w:r>
      <w:r w:rsidR="00530491">
        <w:rPr>
          <w:rFonts w:ascii="Tahoma" w:hAnsi="Tahoma" w:cs="Tahoma"/>
        </w:rPr>
        <w:t>)</w:t>
      </w:r>
      <w:r w:rsidR="0011624E">
        <w:rPr>
          <w:rFonts w:ascii="Tahoma" w:hAnsi="Tahoma" w:cs="Tahoma"/>
        </w:rPr>
        <w:t xml:space="preserve"> n’a pas fonctionné sur le moment, elle a placé les vendeurs dans une situation délicate</w:t>
      </w:r>
      <w:r w:rsidR="00530491">
        <w:rPr>
          <w:rFonts w:ascii="Tahoma" w:hAnsi="Tahoma" w:cs="Tahoma"/>
        </w:rPr>
        <w:t>,</w:t>
      </w:r>
      <w:r w:rsidR="0011624E">
        <w:rPr>
          <w:rFonts w:ascii="Tahoma" w:hAnsi="Tahoma" w:cs="Tahoma"/>
        </w:rPr>
        <w:t xml:space="preserve"> favorable à des prises de profits. Après un plus bas sous le support de 151.06 </w:t>
      </w:r>
      <w:r w:rsidR="00530491">
        <w:rPr>
          <w:rFonts w:ascii="Tahoma" w:hAnsi="Tahoma" w:cs="Tahoma"/>
        </w:rPr>
        <w:t>soit</w:t>
      </w:r>
      <w:r w:rsidR="0011624E">
        <w:rPr>
          <w:rFonts w:ascii="Tahoma" w:hAnsi="Tahoma" w:cs="Tahoma"/>
        </w:rPr>
        <w:t xml:space="preserve"> 150.49, les prix ont rebondi sous l’action de protection de positions shorts. </w:t>
      </w:r>
    </w:p>
    <w:p w14:paraId="214A2BFF" w14:textId="0E4B9C05" w:rsidR="001E65A2" w:rsidRDefault="0011624E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la semaine termine en forte hausse </w:t>
      </w:r>
      <w:r w:rsidR="007909C2">
        <w:rPr>
          <w:rFonts w:ascii="Tahoma" w:hAnsi="Tahoma" w:cs="Tahoma"/>
        </w:rPr>
        <w:t xml:space="preserve">gagnant environ 3 figures en </w:t>
      </w:r>
      <w:r w:rsidR="00B80554">
        <w:rPr>
          <w:rFonts w:ascii="Tahoma" w:hAnsi="Tahoma" w:cs="Tahoma"/>
        </w:rPr>
        <w:t>clôture</w:t>
      </w:r>
      <w:r w:rsidR="007909C2">
        <w:rPr>
          <w:rFonts w:ascii="Tahoma" w:hAnsi="Tahoma" w:cs="Tahoma"/>
        </w:rPr>
        <w:t xml:space="preserve"> après un plus haut à 155.33.</w:t>
      </w:r>
    </w:p>
    <w:p w14:paraId="7AC4D2D2" w14:textId="3EC38881" w:rsidR="00DF072F" w:rsidRDefault="001E65A2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Le contrat a probablement touché ses bas. Les haussiers ne sont pas encore totalement aux commandes.</w:t>
      </w:r>
      <w:r w:rsidR="0011624E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 xml:space="preserve">Comme je l’ai exprimé la semaine dernière, </w:t>
      </w:r>
      <w:r w:rsidR="003522DC">
        <w:rPr>
          <w:rFonts w:ascii="Tahoma" w:hAnsi="Tahoma" w:cs="Tahoma"/>
        </w:rPr>
        <w:t xml:space="preserve">l’ultime avalement résultait de </w:t>
      </w:r>
      <w:r>
        <w:rPr>
          <w:rFonts w:ascii="Tahoma" w:hAnsi="Tahoma" w:cs="Tahoma"/>
        </w:rPr>
        <w:t>la baisse trop importante des cours</w:t>
      </w:r>
      <w:r w:rsidR="003522DC">
        <w:rPr>
          <w:rFonts w:ascii="Tahoma" w:hAnsi="Tahoma" w:cs="Tahoma"/>
        </w:rPr>
        <w:t>. Il</w:t>
      </w:r>
      <w:r>
        <w:rPr>
          <w:rFonts w:ascii="Tahoma" w:hAnsi="Tahoma" w:cs="Tahoma"/>
        </w:rPr>
        <w:t xml:space="preserve"> a </w:t>
      </w:r>
      <w:r w:rsidR="003522DC">
        <w:rPr>
          <w:rFonts w:ascii="Tahoma" w:hAnsi="Tahoma" w:cs="Tahoma"/>
        </w:rPr>
        <w:t>accéléré</w:t>
      </w:r>
      <w:r>
        <w:rPr>
          <w:rFonts w:ascii="Tahoma" w:hAnsi="Tahoma" w:cs="Tahoma"/>
        </w:rPr>
        <w:t xml:space="preserve"> </w:t>
      </w:r>
      <w:r w:rsidR="003522DC">
        <w:rPr>
          <w:rFonts w:ascii="Tahoma" w:hAnsi="Tahoma" w:cs="Tahoma"/>
        </w:rPr>
        <w:t>le</w:t>
      </w:r>
      <w:r>
        <w:rPr>
          <w:rFonts w:ascii="Tahoma" w:hAnsi="Tahoma" w:cs="Tahoma"/>
        </w:rPr>
        <w:t xml:space="preserve"> contexte de surtension favorable à un rebond.</w:t>
      </w:r>
    </w:p>
    <w:p w14:paraId="374D1F17" w14:textId="4FD8E22C" w:rsidR="00583BC8" w:rsidRDefault="00FD03B0" w:rsidP="00B41C02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dernière chandelle forme avec la précédente un avalement haussier qui se classe dans les structures de retournement.</w:t>
      </w:r>
      <w:r w:rsidR="001E4177">
        <w:rPr>
          <w:rFonts w:ascii="Tahoma" w:hAnsi="Tahoma" w:cs="Tahoma"/>
        </w:rPr>
        <w:t xml:space="preserve"> Mais </w:t>
      </w:r>
      <w:r w:rsidR="0057124E">
        <w:rPr>
          <w:rFonts w:ascii="Tahoma" w:hAnsi="Tahoma" w:cs="Tahoma"/>
        </w:rPr>
        <w:t xml:space="preserve">si comme je le pense, la raison du rebond de cette semaine est essentiellement due </w:t>
      </w:r>
      <w:r w:rsidR="003522DC">
        <w:rPr>
          <w:rFonts w:ascii="Tahoma" w:hAnsi="Tahoma" w:cs="Tahoma"/>
        </w:rPr>
        <w:t xml:space="preserve">à un état de survente des prix, </w:t>
      </w:r>
      <w:r w:rsidR="009875A2">
        <w:rPr>
          <w:rFonts w:ascii="Tahoma" w:hAnsi="Tahoma" w:cs="Tahoma"/>
        </w:rPr>
        <w:t>les cours devraient consolider avant de reprendre une direction.</w:t>
      </w:r>
    </w:p>
    <w:p w14:paraId="53AA9186" w14:textId="5A12989E" w:rsidR="00583BC8" w:rsidRPr="00041E45" w:rsidRDefault="00583BC8" w:rsidP="00B41C02">
      <w:pPr>
        <w:jc w:val="both"/>
        <w:rPr>
          <w:rFonts w:ascii="Tahoma" w:hAnsi="Tahoma" w:cs="Tahoma"/>
          <w:sz w:val="32"/>
          <w:szCs w:val="32"/>
          <w:u w:val="single"/>
        </w:rPr>
      </w:pPr>
      <w:r w:rsidRPr="00041E45">
        <w:rPr>
          <w:rFonts w:ascii="Tahoma" w:hAnsi="Tahoma" w:cs="Tahoma"/>
          <w:sz w:val="32"/>
          <w:szCs w:val="32"/>
          <w:u w:val="single"/>
        </w:rPr>
        <w:t>DAY</w:t>
      </w:r>
    </w:p>
    <w:p w14:paraId="1675B8DF" w14:textId="7ED17E8F" w:rsidR="00583BC8" w:rsidRDefault="00487E01" w:rsidP="00B41C0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2DDEF389" wp14:editId="1F185744">
            <wp:extent cx="5760720" cy="4320540"/>
            <wp:effectExtent l="0" t="0" r="0" b="3810"/>
            <wp:docPr id="3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0BA38C" w14:textId="73477E3E" w:rsidR="00163C46" w:rsidRDefault="00163C46" w:rsidP="00263ED0">
      <w:pPr>
        <w:jc w:val="both"/>
        <w:rPr>
          <w:rFonts w:ascii="Tahoma" w:hAnsi="Tahoma" w:cs="Tahoma"/>
        </w:rPr>
      </w:pPr>
    </w:p>
    <w:p w14:paraId="67B8B186" w14:textId="5D9EF187" w:rsidR="00467005" w:rsidRDefault="00FC71A9" w:rsidP="00041E45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L’enchainement de chandelles blanches sur un </w:t>
      </w:r>
      <w:r w:rsidR="00CC0512">
        <w:rPr>
          <w:rFonts w:ascii="Tahoma" w:hAnsi="Tahoma" w:cs="Tahoma"/>
        </w:rPr>
        <w:t xml:space="preserve">creux de marché donne une structure haussière favorable à un retournement de tendance. Ces chandeliers devraient remettre en question le mouvement de baisse qui les </w:t>
      </w:r>
      <w:r w:rsidR="00B80554">
        <w:rPr>
          <w:rFonts w:ascii="Tahoma" w:hAnsi="Tahoma" w:cs="Tahoma"/>
        </w:rPr>
        <w:t>précède</w:t>
      </w:r>
      <w:r w:rsidR="00CC0512">
        <w:rPr>
          <w:rFonts w:ascii="Tahoma" w:hAnsi="Tahoma" w:cs="Tahoma"/>
        </w:rPr>
        <w:t>.</w:t>
      </w:r>
    </w:p>
    <w:p w14:paraId="10CACEE7" w14:textId="2D535FED" w:rsidR="00CE02AC" w:rsidRDefault="00CC0512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lastRenderedPageBreak/>
        <w:t xml:space="preserve">Mais la dernière bougie de la semaine </w:t>
      </w:r>
      <w:r w:rsidR="003239B0">
        <w:rPr>
          <w:rFonts w:ascii="Tahoma" w:hAnsi="Tahoma" w:cs="Tahoma"/>
        </w:rPr>
        <w:t>ne</w:t>
      </w:r>
      <w:r>
        <w:rPr>
          <w:rFonts w:ascii="Tahoma" w:hAnsi="Tahoma" w:cs="Tahoma"/>
        </w:rPr>
        <w:t xml:space="preserve"> cadre pas a</w:t>
      </w:r>
      <w:r w:rsidR="00CE02AC">
        <w:rPr>
          <w:rFonts w:ascii="Tahoma" w:hAnsi="Tahoma" w:cs="Tahoma"/>
        </w:rPr>
        <w:t>vec une poursuite de la hausse. La dernière chandelle noire dessine avec la précédente une structure de retournement baissière en avalement.</w:t>
      </w:r>
      <w:r w:rsidR="00A45439">
        <w:rPr>
          <w:rFonts w:ascii="Tahoma" w:hAnsi="Tahoma" w:cs="Tahoma"/>
        </w:rPr>
        <w:t xml:space="preserve"> La fusion des deux dernières chandelles donne un doji pierre tombal. </w:t>
      </w:r>
      <w:r w:rsidR="003239B0">
        <w:rPr>
          <w:rFonts w:ascii="Tahoma" w:hAnsi="Tahoma" w:cs="Tahoma"/>
        </w:rPr>
        <w:t xml:space="preserve">Tout cela </w:t>
      </w:r>
      <w:r w:rsidR="00A45439">
        <w:rPr>
          <w:rFonts w:ascii="Tahoma" w:hAnsi="Tahoma" w:cs="Tahoma"/>
        </w:rPr>
        <w:t xml:space="preserve"> n’est pas positif mais après 4 séances de hausse, une correction est toujours envisageable</w:t>
      </w:r>
      <w:r w:rsidR="007C67F9">
        <w:rPr>
          <w:rFonts w:ascii="Tahoma" w:hAnsi="Tahoma" w:cs="Tahoma"/>
        </w:rPr>
        <w:t xml:space="preserve"> sans pour autant remettre en question la tendance qui prend forme.</w:t>
      </w:r>
    </w:p>
    <w:p w14:paraId="0A83B936" w14:textId="35119B48" w:rsidR="00963B3D" w:rsidRDefault="00963B3D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TS restera plate tant que le contrat se maintiendra entre 150.49 et 155.33. Elle poursuivra ainsi son plat sur 152.91. </w:t>
      </w:r>
      <w:proofErr w:type="spellStart"/>
      <w:r w:rsidR="003239B0">
        <w:rPr>
          <w:rFonts w:ascii="Tahoma" w:hAnsi="Tahoma" w:cs="Tahoma"/>
        </w:rPr>
        <w:t>La</w:t>
      </w:r>
      <w:proofErr w:type="spellEnd"/>
      <w:r w:rsidR="003239B0">
        <w:rPr>
          <w:rFonts w:ascii="Tahoma" w:hAnsi="Tahoma" w:cs="Tahoma"/>
        </w:rPr>
        <w:t xml:space="preserve"> direction de cette courbe</w:t>
      </w:r>
      <w:r>
        <w:rPr>
          <w:rFonts w:ascii="Tahoma" w:hAnsi="Tahoma" w:cs="Tahoma"/>
        </w:rPr>
        <w:t xml:space="preserve"> </w:t>
      </w:r>
      <w:r w:rsidR="003239B0">
        <w:rPr>
          <w:rFonts w:ascii="Tahoma" w:hAnsi="Tahoma" w:cs="Tahoma"/>
        </w:rPr>
        <w:t xml:space="preserve">me fera </w:t>
      </w:r>
      <w:r>
        <w:rPr>
          <w:rFonts w:ascii="Tahoma" w:hAnsi="Tahoma" w:cs="Tahoma"/>
        </w:rPr>
        <w:t xml:space="preserve">favoriser la consolidation des prix, situation que j’ai évoqué </w:t>
      </w:r>
      <w:r w:rsidR="003239B0">
        <w:rPr>
          <w:rFonts w:ascii="Tahoma" w:hAnsi="Tahoma" w:cs="Tahoma"/>
        </w:rPr>
        <w:t>sur</w:t>
      </w:r>
      <w:r>
        <w:rPr>
          <w:rFonts w:ascii="Tahoma" w:hAnsi="Tahoma" w:cs="Tahoma"/>
        </w:rPr>
        <w:t xml:space="preserve"> le moyen terme. Ce point nous servira de pivot pour la semaine </w:t>
      </w:r>
      <w:r w:rsidR="003239B0">
        <w:rPr>
          <w:rFonts w:ascii="Tahoma" w:hAnsi="Tahoma" w:cs="Tahoma"/>
        </w:rPr>
        <w:t xml:space="preserve">à venir </w:t>
      </w:r>
      <w:r>
        <w:rPr>
          <w:rFonts w:ascii="Tahoma" w:hAnsi="Tahoma" w:cs="Tahoma"/>
        </w:rPr>
        <w:t>pour envisager</w:t>
      </w:r>
      <w:r w:rsidR="003239B0">
        <w:rPr>
          <w:rFonts w:ascii="Tahoma" w:hAnsi="Tahoma" w:cs="Tahoma"/>
        </w:rPr>
        <w:t xml:space="preserve"> </w:t>
      </w:r>
      <w:r w:rsidR="003239B0">
        <w:rPr>
          <w:rFonts w:ascii="Tahoma" w:hAnsi="Tahoma" w:cs="Tahoma"/>
        </w:rPr>
        <w:t xml:space="preserve">un retour </w:t>
      </w:r>
      <w:r w:rsidR="003239B0">
        <w:rPr>
          <w:rFonts w:ascii="Tahoma" w:hAnsi="Tahoma" w:cs="Tahoma"/>
        </w:rPr>
        <w:t>soit</w:t>
      </w:r>
      <w:r>
        <w:rPr>
          <w:rFonts w:ascii="Tahoma" w:hAnsi="Tahoma" w:cs="Tahoma"/>
        </w:rPr>
        <w:t xml:space="preserve"> sur 155.33 </w:t>
      </w:r>
      <w:r w:rsidR="003239B0">
        <w:rPr>
          <w:rFonts w:ascii="Tahoma" w:hAnsi="Tahoma" w:cs="Tahoma"/>
        </w:rPr>
        <w:t xml:space="preserve">soit sur </w:t>
      </w:r>
      <w:r>
        <w:rPr>
          <w:rFonts w:ascii="Tahoma" w:hAnsi="Tahoma" w:cs="Tahoma"/>
        </w:rPr>
        <w:t>150.49.</w:t>
      </w:r>
    </w:p>
    <w:p w14:paraId="7BFF025F" w14:textId="77777777" w:rsidR="00CE02AC" w:rsidRDefault="00CE02AC" w:rsidP="00B94D71">
      <w:pPr>
        <w:jc w:val="both"/>
        <w:rPr>
          <w:rFonts w:ascii="Tahoma" w:hAnsi="Tahoma" w:cs="Tahoma"/>
        </w:rPr>
      </w:pPr>
    </w:p>
    <w:p w14:paraId="1A9C73C4" w14:textId="77777777" w:rsidR="00CE02AC" w:rsidRDefault="00CE02AC" w:rsidP="00B94D71">
      <w:pPr>
        <w:jc w:val="both"/>
        <w:rPr>
          <w:rFonts w:ascii="Tahoma" w:hAnsi="Tahoma" w:cs="Tahoma"/>
        </w:rPr>
      </w:pPr>
    </w:p>
    <w:p w14:paraId="258EB8FF" w14:textId="395CEECF" w:rsidR="00B94D71" w:rsidRDefault="00B94D71" w:rsidP="00B94D71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DC7B61">
        <w:rPr>
          <w:rFonts w:ascii="Tahoma" w:hAnsi="Tahoma" w:cs="Tahoma"/>
        </w:rPr>
        <w:t xml:space="preserve"> Plat de TS sur 152.91 en pivot </w:t>
      </w:r>
      <w:r w:rsidR="00C25D3D">
        <w:rPr>
          <w:rFonts w:ascii="Tahoma" w:hAnsi="Tahoma" w:cs="Tahoma"/>
        </w:rPr>
        <w:t>sur la semaine pour envisager une première orientation soit sur 155.33 soit sur 150.49.</w:t>
      </w:r>
    </w:p>
    <w:p w14:paraId="655E9AC0" w14:textId="4F40B9D5" w:rsidR="00723F77" w:rsidRDefault="00723F77" w:rsidP="00041E45">
      <w:pPr>
        <w:jc w:val="both"/>
        <w:rPr>
          <w:rFonts w:ascii="Tahoma" w:hAnsi="Tahoma" w:cs="Tahoma"/>
        </w:rPr>
      </w:pPr>
    </w:p>
    <w:p w14:paraId="01260563" w14:textId="77777777" w:rsidR="00E3727C" w:rsidRDefault="00E3727C" w:rsidP="00041E45">
      <w:pPr>
        <w:jc w:val="both"/>
        <w:rPr>
          <w:rFonts w:ascii="Tahoma" w:hAnsi="Tahoma" w:cs="Tahoma"/>
        </w:rPr>
      </w:pPr>
    </w:p>
    <w:p w14:paraId="7ECBFD62" w14:textId="77777777" w:rsidR="00723F77" w:rsidRDefault="00723F77" w:rsidP="00041E45">
      <w:pPr>
        <w:jc w:val="both"/>
        <w:rPr>
          <w:rFonts w:ascii="Tahoma" w:hAnsi="Tahoma" w:cs="Tahoma"/>
        </w:rPr>
      </w:pPr>
    </w:p>
    <w:p w14:paraId="22FFB91E" w14:textId="77777777" w:rsidR="00723F77" w:rsidRPr="00723F77" w:rsidRDefault="00467005" w:rsidP="00723F77">
      <w:pPr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>
        <w:rPr>
          <w:rFonts w:ascii="Tahoma" w:hAnsi="Tahoma" w:cs="Tahoma"/>
        </w:rPr>
        <w:t xml:space="preserve"> </w:t>
      </w:r>
      <w:r w:rsidR="00723F77" w:rsidRPr="00723F77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="00723F77"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476D8B5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87617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4B322C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1749A1CE" w14:textId="2AA954BF" w:rsid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3D24FC8E" w14:textId="77777777" w:rsidR="00E3727C" w:rsidRPr="00723F77" w:rsidRDefault="00E3727C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D1253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t>LS (orange)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388C9BF9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5486A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463A431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442D7A8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FC2D32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02B62E7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6B7DE25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7608303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2C8EE37B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B9B3E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37BD65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4869BE08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BAC255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3620DAF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57DDCB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6889839D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E8B1924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395064A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5C31335A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668BECBE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1062831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723F77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04409A40" w14:textId="77777777" w:rsidR="00723F77" w:rsidRPr="00723F77" w:rsidRDefault="00723F77" w:rsidP="00723F77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003B719" w14:textId="3D6A3070" w:rsidR="00467005" w:rsidRPr="00467005" w:rsidRDefault="00467005" w:rsidP="00041E45">
      <w:pPr>
        <w:jc w:val="both"/>
        <w:rPr>
          <w:rFonts w:ascii="Tahoma" w:hAnsi="Tahoma" w:cs="Tahoma"/>
        </w:rPr>
      </w:pPr>
    </w:p>
    <w:sectPr w:rsidR="00467005" w:rsidRPr="0046700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3AB8"/>
    <w:rsid w:val="0002580A"/>
    <w:rsid w:val="00041E45"/>
    <w:rsid w:val="00046AC8"/>
    <w:rsid w:val="000524C5"/>
    <w:rsid w:val="000556C3"/>
    <w:rsid w:val="000833FB"/>
    <w:rsid w:val="00092058"/>
    <w:rsid w:val="000938CC"/>
    <w:rsid w:val="000B221E"/>
    <w:rsid w:val="000B7DFC"/>
    <w:rsid w:val="000C0DE4"/>
    <w:rsid w:val="000D4ED3"/>
    <w:rsid w:val="001018AD"/>
    <w:rsid w:val="00103ED4"/>
    <w:rsid w:val="00105B4E"/>
    <w:rsid w:val="0011624E"/>
    <w:rsid w:val="00134AFA"/>
    <w:rsid w:val="00135766"/>
    <w:rsid w:val="0014687D"/>
    <w:rsid w:val="0015581D"/>
    <w:rsid w:val="00163C46"/>
    <w:rsid w:val="001705F4"/>
    <w:rsid w:val="00190995"/>
    <w:rsid w:val="001A4796"/>
    <w:rsid w:val="001D474B"/>
    <w:rsid w:val="001E4177"/>
    <w:rsid w:val="001E65A2"/>
    <w:rsid w:val="001F650A"/>
    <w:rsid w:val="002003AD"/>
    <w:rsid w:val="002421FE"/>
    <w:rsid w:val="00262E25"/>
    <w:rsid w:val="00263ED0"/>
    <w:rsid w:val="002A1F8E"/>
    <w:rsid w:val="002B5CB1"/>
    <w:rsid w:val="002C0A31"/>
    <w:rsid w:val="002F54B0"/>
    <w:rsid w:val="00303214"/>
    <w:rsid w:val="0030643B"/>
    <w:rsid w:val="003239B0"/>
    <w:rsid w:val="00337611"/>
    <w:rsid w:val="00340FD9"/>
    <w:rsid w:val="003522DC"/>
    <w:rsid w:val="00352DD9"/>
    <w:rsid w:val="003767E0"/>
    <w:rsid w:val="00397D3D"/>
    <w:rsid w:val="0040171B"/>
    <w:rsid w:val="00467005"/>
    <w:rsid w:val="00487E01"/>
    <w:rsid w:val="004A2D2D"/>
    <w:rsid w:val="004A5154"/>
    <w:rsid w:val="004F48EE"/>
    <w:rsid w:val="00530491"/>
    <w:rsid w:val="00531928"/>
    <w:rsid w:val="005440A4"/>
    <w:rsid w:val="00546A5A"/>
    <w:rsid w:val="00566580"/>
    <w:rsid w:val="00567AF3"/>
    <w:rsid w:val="0057124E"/>
    <w:rsid w:val="00583BC8"/>
    <w:rsid w:val="00654380"/>
    <w:rsid w:val="00664BE1"/>
    <w:rsid w:val="006B055C"/>
    <w:rsid w:val="006E32BB"/>
    <w:rsid w:val="006E38E0"/>
    <w:rsid w:val="00710599"/>
    <w:rsid w:val="00723F77"/>
    <w:rsid w:val="00744696"/>
    <w:rsid w:val="00772067"/>
    <w:rsid w:val="0077545D"/>
    <w:rsid w:val="007909C2"/>
    <w:rsid w:val="007A0A4B"/>
    <w:rsid w:val="007A0E6C"/>
    <w:rsid w:val="007B1237"/>
    <w:rsid w:val="007B661D"/>
    <w:rsid w:val="007C67F9"/>
    <w:rsid w:val="007D19FF"/>
    <w:rsid w:val="007D2085"/>
    <w:rsid w:val="007D4181"/>
    <w:rsid w:val="0083454A"/>
    <w:rsid w:val="00837B38"/>
    <w:rsid w:val="00896554"/>
    <w:rsid w:val="008A7407"/>
    <w:rsid w:val="008F10C2"/>
    <w:rsid w:val="00902D2F"/>
    <w:rsid w:val="00961FDF"/>
    <w:rsid w:val="00963B3D"/>
    <w:rsid w:val="00983B7D"/>
    <w:rsid w:val="009875A2"/>
    <w:rsid w:val="009A37C2"/>
    <w:rsid w:val="009F3AB8"/>
    <w:rsid w:val="00A11606"/>
    <w:rsid w:val="00A45439"/>
    <w:rsid w:val="00A6401C"/>
    <w:rsid w:val="00A81AB7"/>
    <w:rsid w:val="00AA522C"/>
    <w:rsid w:val="00AE7F3B"/>
    <w:rsid w:val="00B34260"/>
    <w:rsid w:val="00B41C02"/>
    <w:rsid w:val="00B4335A"/>
    <w:rsid w:val="00B50E38"/>
    <w:rsid w:val="00B554B8"/>
    <w:rsid w:val="00B64EE0"/>
    <w:rsid w:val="00B80554"/>
    <w:rsid w:val="00B94D71"/>
    <w:rsid w:val="00BB0E32"/>
    <w:rsid w:val="00BB6D9D"/>
    <w:rsid w:val="00BC77A5"/>
    <w:rsid w:val="00BD3FC1"/>
    <w:rsid w:val="00C17ED7"/>
    <w:rsid w:val="00C25D3D"/>
    <w:rsid w:val="00C41F15"/>
    <w:rsid w:val="00C70171"/>
    <w:rsid w:val="00C70A68"/>
    <w:rsid w:val="00C82E98"/>
    <w:rsid w:val="00CB17C9"/>
    <w:rsid w:val="00CC0512"/>
    <w:rsid w:val="00CC53D1"/>
    <w:rsid w:val="00CC72FF"/>
    <w:rsid w:val="00CC7C21"/>
    <w:rsid w:val="00CD3D51"/>
    <w:rsid w:val="00CE02AC"/>
    <w:rsid w:val="00CE0886"/>
    <w:rsid w:val="00CF2516"/>
    <w:rsid w:val="00CF6D63"/>
    <w:rsid w:val="00D23B28"/>
    <w:rsid w:val="00D46C8D"/>
    <w:rsid w:val="00DA1359"/>
    <w:rsid w:val="00DC7B61"/>
    <w:rsid w:val="00DE5444"/>
    <w:rsid w:val="00DF072F"/>
    <w:rsid w:val="00E32014"/>
    <w:rsid w:val="00E3727C"/>
    <w:rsid w:val="00EB58BA"/>
    <w:rsid w:val="00F04A6E"/>
    <w:rsid w:val="00F04DEF"/>
    <w:rsid w:val="00F31070"/>
    <w:rsid w:val="00F53F10"/>
    <w:rsid w:val="00F636F8"/>
    <w:rsid w:val="00FA2C8E"/>
    <w:rsid w:val="00FC1860"/>
    <w:rsid w:val="00FC71A9"/>
    <w:rsid w:val="00FC7EA5"/>
    <w:rsid w:val="00FD03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9B5EB49"/>
  <w15:chartTrackingRefBased/>
  <w15:docId w15:val="{8D958F43-A15C-4150-B920-BE8741EFE5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2148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81309F-AB94-4C63-8650-B80168C5A3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611</TotalTime>
  <Pages>4</Pages>
  <Words>468</Words>
  <Characters>2577</Characters>
  <Application>Microsoft Office Word</Application>
  <DocSecurity>0</DocSecurity>
  <Lines>21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110</cp:revision>
  <dcterms:created xsi:type="dcterms:W3CDTF">2021-11-25T09:44:00Z</dcterms:created>
  <dcterms:modified xsi:type="dcterms:W3CDTF">2022-05-14T15:56:00Z</dcterms:modified>
</cp:coreProperties>
</file>