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22E408" w14:textId="0B03E349" w:rsidR="00826F39" w:rsidRPr="00826F39" w:rsidRDefault="00826F39">
      <w:pPr>
        <w:rPr>
          <w:sz w:val="48"/>
          <w:szCs w:val="48"/>
          <w:u w:val="single"/>
        </w:rPr>
      </w:pPr>
      <w:r w:rsidRPr="00826F39">
        <w:rPr>
          <w:sz w:val="48"/>
          <w:szCs w:val="48"/>
        </w:rPr>
        <w:t xml:space="preserve">                         </w:t>
      </w:r>
      <w:r w:rsidR="00D569E8" w:rsidRPr="00826F39">
        <w:rPr>
          <w:sz w:val="48"/>
          <w:szCs w:val="48"/>
          <w:u w:val="single"/>
        </w:rPr>
        <w:t>Ether</w:t>
      </w:r>
      <w:r w:rsidR="00217087">
        <w:rPr>
          <w:sz w:val="48"/>
          <w:szCs w:val="48"/>
          <w:u w:val="single"/>
        </w:rPr>
        <w:t>e</w:t>
      </w:r>
      <w:r w:rsidR="00D569E8" w:rsidRPr="00826F39">
        <w:rPr>
          <w:sz w:val="48"/>
          <w:szCs w:val="48"/>
          <w:u w:val="single"/>
        </w:rPr>
        <w:t xml:space="preserve">um     </w:t>
      </w:r>
    </w:p>
    <w:p w14:paraId="31B1B352" w14:textId="210567CE" w:rsidR="0005563F" w:rsidRDefault="002B27CF">
      <w:pPr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t>Week</w:t>
      </w:r>
    </w:p>
    <w:p w14:paraId="793D23D1" w14:textId="52CD394A" w:rsidR="00D569E8" w:rsidRDefault="003D5F5E">
      <w:pPr>
        <w:rPr>
          <w:sz w:val="32"/>
          <w:szCs w:val="32"/>
          <w:u w:val="single"/>
        </w:rPr>
      </w:pPr>
      <w:r>
        <w:rPr>
          <w:noProof/>
        </w:rPr>
        <w:drawing>
          <wp:inline distT="0" distB="0" distL="0" distR="0" wp14:anchorId="261BB9BB" wp14:editId="120A15AB">
            <wp:extent cx="5760691" cy="3726180"/>
            <wp:effectExtent l="0" t="0" r="0" b="762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9818" cy="373208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E3AB3CD" w14:textId="25875B50" w:rsidR="00D569E8" w:rsidRDefault="00D569E8">
      <w:pPr>
        <w:rPr>
          <w:sz w:val="32"/>
          <w:szCs w:val="32"/>
          <w:u w:val="single"/>
        </w:rPr>
      </w:pPr>
    </w:p>
    <w:p w14:paraId="117559AA" w14:textId="5BF354F7" w:rsidR="00572015" w:rsidRDefault="004475E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La </w:t>
      </w:r>
      <w:r w:rsidR="00D21870">
        <w:rPr>
          <w:rFonts w:ascii="Tahoma" w:hAnsi="Tahoma" w:cs="Tahoma"/>
        </w:rPr>
        <w:t xml:space="preserve">baisse des prix a été au-delà de mes anticipations. La Cryptomonnaie est ainsi revenue sur son bas de l’année avant de le casser pour rebondir sur </w:t>
      </w:r>
      <w:r w:rsidR="00051D60">
        <w:rPr>
          <w:rFonts w:ascii="Tahoma" w:hAnsi="Tahoma" w:cs="Tahoma"/>
        </w:rPr>
        <w:t>1620.</w:t>
      </w:r>
    </w:p>
    <w:p w14:paraId="210F780D" w14:textId="2EAA30AF" w:rsidR="00051D60" w:rsidRDefault="00051D6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Ainsi la dernière longue chandelle noire prolonge le mouvement de baisse commencé sur l</w:t>
      </w:r>
      <w:r w:rsidR="001F3773">
        <w:rPr>
          <w:rFonts w:ascii="Tahoma" w:hAnsi="Tahoma" w:cs="Tahoma"/>
        </w:rPr>
        <w:t>es niveaux de la</w:t>
      </w:r>
      <w:r>
        <w:rPr>
          <w:rFonts w:ascii="Tahoma" w:hAnsi="Tahoma" w:cs="Tahoma"/>
        </w:rPr>
        <w:t xml:space="preserve"> résistance de 3063 au début du mois d’avril. Mais comme souvent, les longues bougies noires dans un creux de marché ou blanche sur un sommet ne sont pas </w:t>
      </w:r>
      <w:r w:rsidR="00E657D6">
        <w:rPr>
          <w:rFonts w:ascii="Tahoma" w:hAnsi="Tahoma" w:cs="Tahoma"/>
        </w:rPr>
        <w:t>appropriées</w:t>
      </w:r>
      <w:r>
        <w:rPr>
          <w:rFonts w:ascii="Tahoma" w:hAnsi="Tahoma" w:cs="Tahoma"/>
        </w:rPr>
        <w:t xml:space="preserve">. </w:t>
      </w:r>
      <w:r w:rsidR="00B80D9F">
        <w:rPr>
          <w:rFonts w:ascii="Tahoma" w:hAnsi="Tahoma" w:cs="Tahoma"/>
        </w:rPr>
        <w:t xml:space="preserve">L’emplacement de ces chandeliers tend à </w:t>
      </w:r>
      <w:r w:rsidR="009459DC">
        <w:rPr>
          <w:rFonts w:ascii="Tahoma" w:hAnsi="Tahoma" w:cs="Tahoma"/>
        </w:rPr>
        <w:t>fragiliser</w:t>
      </w:r>
      <w:r w:rsidR="00B80D9F">
        <w:rPr>
          <w:rFonts w:ascii="Tahoma" w:hAnsi="Tahoma" w:cs="Tahoma"/>
        </w:rPr>
        <w:t xml:space="preserve"> le</w:t>
      </w:r>
      <w:r w:rsidR="001F3773">
        <w:rPr>
          <w:rFonts w:ascii="Tahoma" w:hAnsi="Tahoma" w:cs="Tahoma"/>
        </w:rPr>
        <w:t>s</w:t>
      </w:r>
      <w:r w:rsidR="00B80D9F">
        <w:rPr>
          <w:rFonts w:ascii="Tahoma" w:hAnsi="Tahoma" w:cs="Tahoma"/>
        </w:rPr>
        <w:t xml:space="preserve"> mouvement</w:t>
      </w:r>
      <w:r w:rsidR="001F3773">
        <w:rPr>
          <w:rFonts w:ascii="Tahoma" w:hAnsi="Tahoma" w:cs="Tahoma"/>
        </w:rPr>
        <w:t>s</w:t>
      </w:r>
      <w:r w:rsidR="00B80D9F">
        <w:rPr>
          <w:rFonts w:ascii="Tahoma" w:hAnsi="Tahoma" w:cs="Tahoma"/>
        </w:rPr>
        <w:t xml:space="preserve"> </w:t>
      </w:r>
      <w:r w:rsidR="009459DC">
        <w:rPr>
          <w:rFonts w:ascii="Tahoma" w:hAnsi="Tahoma" w:cs="Tahoma"/>
        </w:rPr>
        <w:t>qui se développe</w:t>
      </w:r>
      <w:r w:rsidR="001F3773">
        <w:rPr>
          <w:rFonts w:ascii="Tahoma" w:hAnsi="Tahoma" w:cs="Tahoma"/>
        </w:rPr>
        <w:t>nt</w:t>
      </w:r>
      <w:r w:rsidR="009459DC">
        <w:rPr>
          <w:rFonts w:ascii="Tahoma" w:hAnsi="Tahoma" w:cs="Tahoma"/>
        </w:rPr>
        <w:t xml:space="preserve"> et peu</w:t>
      </w:r>
      <w:r w:rsidR="001F3773">
        <w:rPr>
          <w:rFonts w:ascii="Tahoma" w:hAnsi="Tahoma" w:cs="Tahoma"/>
        </w:rPr>
        <w:t>ven</w:t>
      </w:r>
      <w:r w:rsidR="009459DC">
        <w:rPr>
          <w:rFonts w:ascii="Tahoma" w:hAnsi="Tahoma" w:cs="Tahoma"/>
        </w:rPr>
        <w:t xml:space="preserve">t inciter les tenants du marché (ici les vendeurs) à </w:t>
      </w:r>
      <w:r w:rsidR="00E657D6">
        <w:rPr>
          <w:rFonts w:ascii="Tahoma" w:hAnsi="Tahoma" w:cs="Tahoma"/>
        </w:rPr>
        <w:t>protéger</w:t>
      </w:r>
      <w:r w:rsidR="009459DC">
        <w:rPr>
          <w:rFonts w:ascii="Tahoma" w:hAnsi="Tahoma" w:cs="Tahoma"/>
        </w:rPr>
        <w:t xml:space="preserve"> leurs positions.</w:t>
      </w:r>
    </w:p>
    <w:p w14:paraId="57B7DCA0" w14:textId="2BD2A0FE" w:rsidR="009459DC" w:rsidRDefault="00E16DA6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Ainsi la mèche basse de la dernière bougie montre des achats </w:t>
      </w:r>
      <w:r w:rsidR="009371C0">
        <w:rPr>
          <w:rFonts w:ascii="Tahoma" w:hAnsi="Tahoma" w:cs="Tahoma"/>
        </w:rPr>
        <w:t xml:space="preserve">sur le niveau bas de 1620. </w:t>
      </w:r>
      <w:r w:rsidR="00A2095B">
        <w:rPr>
          <w:rFonts w:ascii="Tahoma" w:hAnsi="Tahoma" w:cs="Tahoma"/>
        </w:rPr>
        <w:t xml:space="preserve">Rien de très inquiétant pour les baissiers qui dominent les échanges mais </w:t>
      </w:r>
      <w:r w:rsidR="00E66C16">
        <w:rPr>
          <w:rFonts w:ascii="Tahoma" w:hAnsi="Tahoma" w:cs="Tahoma"/>
        </w:rPr>
        <w:t>cette action des prix devrait les amener à être prudent et à surveiller attentivement l’évolution des cours.</w:t>
      </w:r>
    </w:p>
    <w:p w14:paraId="4A770637" w14:textId="6A9B4577" w:rsidR="00E66C16" w:rsidRDefault="00E66C16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Le plat passé de SSB de 1948 est un support. C’est aussi le point haut de la mèche basse de la dernière chandelle. Un maintien des cours la semaine prochaine </w:t>
      </w:r>
      <w:r w:rsidR="00E657D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ce support incitera une partie des vendeurs à protéger </w:t>
      </w:r>
      <w:r w:rsidR="00E657D6">
        <w:rPr>
          <w:rFonts w:ascii="Tahoma" w:hAnsi="Tahoma" w:cs="Tahoma"/>
        </w:rPr>
        <w:t>leurs gains</w:t>
      </w:r>
      <w:r>
        <w:rPr>
          <w:rFonts w:ascii="Tahoma" w:hAnsi="Tahoma" w:cs="Tahoma"/>
        </w:rPr>
        <w:t>.</w:t>
      </w:r>
    </w:p>
    <w:p w14:paraId="711C3EDE" w14:textId="319D2609" w:rsidR="00572015" w:rsidRDefault="00572015" w:rsidP="00960940">
      <w:pPr>
        <w:jc w:val="both"/>
        <w:rPr>
          <w:rFonts w:ascii="Tahoma" w:hAnsi="Tahoma" w:cs="Tahoma"/>
        </w:rPr>
      </w:pPr>
    </w:p>
    <w:p w14:paraId="433A32E4" w14:textId="2ABF29E0" w:rsidR="00DA4851" w:rsidRDefault="00DA4851" w:rsidP="007F6E22">
      <w:pPr>
        <w:jc w:val="both"/>
        <w:rPr>
          <w:rFonts w:ascii="Tahoma" w:hAnsi="Tahoma" w:cs="Tahoma"/>
        </w:rPr>
      </w:pPr>
    </w:p>
    <w:p w14:paraId="02B63013" w14:textId="225EF723" w:rsidR="00DA4851" w:rsidRDefault="00DA4851" w:rsidP="007F6E22">
      <w:pPr>
        <w:jc w:val="both"/>
        <w:rPr>
          <w:rFonts w:ascii="Tahoma" w:hAnsi="Tahoma" w:cs="Tahoma"/>
        </w:rPr>
      </w:pPr>
    </w:p>
    <w:p w14:paraId="387A5E74" w14:textId="77777777" w:rsidR="00DA4851" w:rsidRDefault="00DA4851" w:rsidP="007F6E22">
      <w:pPr>
        <w:jc w:val="both"/>
        <w:rPr>
          <w:rFonts w:ascii="Tahoma" w:hAnsi="Tahoma" w:cs="Tahoma"/>
        </w:rPr>
      </w:pPr>
    </w:p>
    <w:p w14:paraId="303BAFF7" w14:textId="4066100E" w:rsidR="00DA4851" w:rsidRPr="00DA4851" w:rsidRDefault="002B27CF" w:rsidP="007F6E22">
      <w:pPr>
        <w:jc w:val="both"/>
        <w:rPr>
          <w:sz w:val="32"/>
          <w:szCs w:val="32"/>
          <w:u w:val="single"/>
        </w:rPr>
      </w:pPr>
      <w:r>
        <w:rPr>
          <w:sz w:val="32"/>
          <w:szCs w:val="32"/>
          <w:u w:val="single"/>
        </w:rPr>
        <w:lastRenderedPageBreak/>
        <w:t>Day</w:t>
      </w:r>
    </w:p>
    <w:p w14:paraId="592A8BBD" w14:textId="054EA818" w:rsidR="00DA4851" w:rsidRDefault="003D5F5E" w:rsidP="007F6E22">
      <w:pPr>
        <w:jc w:val="both"/>
        <w:rPr>
          <w:rFonts w:ascii="Tahoma" w:hAnsi="Tahoma" w:cs="Tahoma"/>
        </w:rPr>
      </w:pPr>
      <w:r>
        <w:rPr>
          <w:noProof/>
        </w:rPr>
        <w:drawing>
          <wp:inline distT="0" distB="0" distL="0" distR="0" wp14:anchorId="359346A2" wp14:editId="4403E3CE">
            <wp:extent cx="5760720" cy="2541918"/>
            <wp:effectExtent l="0" t="0" r="0" b="0"/>
            <wp:docPr id="2" name="Imag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254191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B45C83" w14:textId="77777777" w:rsidR="00DA096B" w:rsidRDefault="00AB523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La chandelle du 12 mai (J-4) reprend certaines caractéristiques du marteau qui se classe dans les alertes haussières.</w:t>
      </w:r>
    </w:p>
    <w:p w14:paraId="24613017" w14:textId="554575FC" w:rsidR="00DA096B" w:rsidRDefault="00AB5230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 Sur la séance, les prix ont baissé avant de revenir </w:t>
      </w:r>
      <w:r w:rsidR="00E657D6">
        <w:rPr>
          <w:rFonts w:ascii="Tahoma" w:hAnsi="Tahoma" w:cs="Tahoma"/>
        </w:rPr>
        <w:t>clôture</w:t>
      </w:r>
      <w:r>
        <w:rPr>
          <w:rFonts w:ascii="Tahoma" w:hAnsi="Tahoma" w:cs="Tahoma"/>
        </w:rPr>
        <w:t xml:space="preserve"> non loin de l’ouverture. Pour autant, l’alerte haussière ne s’est pas matérialisé</w:t>
      </w:r>
      <w:r w:rsidR="00DA096B">
        <w:rPr>
          <w:rFonts w:ascii="Tahoma" w:hAnsi="Tahoma" w:cs="Tahoma"/>
        </w:rPr>
        <w:t>e</w:t>
      </w:r>
      <w:r>
        <w:rPr>
          <w:rFonts w:ascii="Tahoma" w:hAnsi="Tahoma" w:cs="Tahoma"/>
        </w:rPr>
        <w:t xml:space="preserve"> par un rebond des prix. Les bougies qui ont suivi le chandelier en marteau même si elles sont blanches, restent trop limitées et sans personnalité. </w:t>
      </w:r>
    </w:p>
    <w:p w14:paraId="73A72934" w14:textId="12E46765" w:rsidR="00DA096B" w:rsidRDefault="00DA096B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Même si les ventes </w:t>
      </w:r>
      <w:r w:rsidR="00584211">
        <w:rPr>
          <w:rFonts w:ascii="Tahoma" w:hAnsi="Tahoma" w:cs="Tahoma"/>
        </w:rPr>
        <w:t>s</w:t>
      </w:r>
      <w:r>
        <w:rPr>
          <w:rFonts w:ascii="Tahoma" w:hAnsi="Tahoma" w:cs="Tahoma"/>
        </w:rPr>
        <w:t>ont</w:t>
      </w:r>
      <w:r w:rsidR="00584211">
        <w:rPr>
          <w:rFonts w:ascii="Tahoma" w:hAnsi="Tahoma" w:cs="Tahoma"/>
        </w:rPr>
        <w:t xml:space="preserve"> </w:t>
      </w:r>
      <w:r>
        <w:rPr>
          <w:rFonts w:ascii="Tahoma" w:hAnsi="Tahoma" w:cs="Tahoma"/>
        </w:rPr>
        <w:t>stoppées, la dynamique actuelle des prix montre de l’</w:t>
      </w:r>
      <w:r w:rsidR="00E657D6">
        <w:rPr>
          <w:rFonts w:ascii="Tahoma" w:hAnsi="Tahoma" w:cs="Tahoma"/>
        </w:rPr>
        <w:t>hésitation</w:t>
      </w:r>
      <w:r>
        <w:rPr>
          <w:rFonts w:ascii="Tahoma" w:hAnsi="Tahoma" w:cs="Tahoma"/>
        </w:rPr>
        <w:t xml:space="preserve"> du coté des achats. Un retour du marché sur le niveau des 2200 point</w:t>
      </w:r>
      <w:r w:rsidR="00584211">
        <w:rPr>
          <w:rFonts w:ascii="Tahoma" w:hAnsi="Tahoma" w:cs="Tahoma"/>
        </w:rPr>
        <w:t>s</w:t>
      </w:r>
      <w:r>
        <w:rPr>
          <w:rFonts w:ascii="Tahoma" w:hAnsi="Tahoma" w:cs="Tahoma"/>
        </w:rPr>
        <w:t xml:space="preserve"> sera </w:t>
      </w:r>
      <w:r w:rsidR="00E657D6">
        <w:rPr>
          <w:rFonts w:ascii="Tahoma" w:hAnsi="Tahoma" w:cs="Tahoma"/>
        </w:rPr>
        <w:t>nécessaire</w:t>
      </w:r>
      <w:r>
        <w:rPr>
          <w:rFonts w:ascii="Tahoma" w:hAnsi="Tahoma" w:cs="Tahoma"/>
        </w:rPr>
        <w:t xml:space="preserve"> pour entrainer plus de baissiers à revoir leurs positions.</w:t>
      </w:r>
    </w:p>
    <w:p w14:paraId="20D2AB8F" w14:textId="3C079CAD" w:rsidR="00A638CC" w:rsidRDefault="00584211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 xml:space="preserve">Quoi qu’il en soit, </w:t>
      </w:r>
      <w:r w:rsidR="007470BF">
        <w:rPr>
          <w:rFonts w:ascii="Tahoma" w:hAnsi="Tahoma" w:cs="Tahoma"/>
        </w:rPr>
        <w:t>l</w:t>
      </w:r>
      <w:r w:rsidR="00A638CC">
        <w:rPr>
          <w:rFonts w:ascii="Tahoma" w:hAnsi="Tahoma" w:cs="Tahoma"/>
        </w:rPr>
        <w:t>e contexte est baissier. Les rebonds s’inscriront dans un environnement correctif sous 2700.</w:t>
      </w:r>
    </w:p>
    <w:p w14:paraId="78D816C7" w14:textId="20D7C3D7" w:rsidR="00AB5230" w:rsidRDefault="00A638CC" w:rsidP="00826F39">
      <w:pPr>
        <w:jc w:val="both"/>
        <w:rPr>
          <w:rFonts w:ascii="Tahoma" w:hAnsi="Tahoma" w:cs="Tahoma"/>
        </w:rPr>
      </w:pPr>
      <w:r>
        <w:rPr>
          <w:rFonts w:ascii="Tahoma" w:hAnsi="Tahoma" w:cs="Tahoma"/>
        </w:rPr>
        <w:t>L’</w:t>
      </w:r>
      <w:r w:rsidR="00E657D6">
        <w:rPr>
          <w:rFonts w:ascii="Tahoma" w:hAnsi="Tahoma" w:cs="Tahoma"/>
        </w:rPr>
        <w:t>écartement</w:t>
      </w:r>
      <w:r>
        <w:rPr>
          <w:rFonts w:ascii="Tahoma" w:hAnsi="Tahoma" w:cs="Tahoma"/>
        </w:rPr>
        <w:t xml:space="preserve"> de la SSA </w:t>
      </w:r>
      <w:r w:rsidR="007470BF">
        <w:rPr>
          <w:rFonts w:ascii="Tahoma" w:hAnsi="Tahoma" w:cs="Tahoma"/>
        </w:rPr>
        <w:t xml:space="preserve">future </w:t>
      </w:r>
      <w:r>
        <w:rPr>
          <w:rFonts w:ascii="Tahoma" w:hAnsi="Tahoma" w:cs="Tahoma"/>
        </w:rPr>
        <w:t xml:space="preserve">par rapport au plat de SSB </w:t>
      </w:r>
      <w:r w:rsidR="007470BF">
        <w:rPr>
          <w:rFonts w:ascii="Tahoma" w:hAnsi="Tahoma" w:cs="Tahoma"/>
        </w:rPr>
        <w:t xml:space="preserve">future </w:t>
      </w:r>
      <w:r>
        <w:rPr>
          <w:rFonts w:ascii="Tahoma" w:hAnsi="Tahoma" w:cs="Tahoma"/>
        </w:rPr>
        <w:t xml:space="preserve">traduit de la </w:t>
      </w:r>
      <w:r w:rsidR="00E657D6">
        <w:rPr>
          <w:rFonts w:ascii="Tahoma" w:hAnsi="Tahoma" w:cs="Tahoma"/>
        </w:rPr>
        <w:t>volatilité</w:t>
      </w:r>
      <w:r>
        <w:rPr>
          <w:rFonts w:ascii="Tahoma" w:hAnsi="Tahoma" w:cs="Tahoma"/>
        </w:rPr>
        <w:t xml:space="preserve">, donc même si le contexte est baissier, tant que les prix se maintiendront </w:t>
      </w:r>
      <w:r w:rsidR="00E657D6">
        <w:rPr>
          <w:rFonts w:ascii="Tahoma" w:hAnsi="Tahoma" w:cs="Tahoma"/>
        </w:rPr>
        <w:t>au-dessus</w:t>
      </w:r>
      <w:r>
        <w:rPr>
          <w:rFonts w:ascii="Tahoma" w:hAnsi="Tahoma" w:cs="Tahoma"/>
        </w:rPr>
        <w:t xml:space="preserve"> de 1620, je ne parlerai p</w:t>
      </w:r>
      <w:r w:rsidR="007470BF">
        <w:rPr>
          <w:rFonts w:ascii="Tahoma" w:hAnsi="Tahoma" w:cs="Tahoma"/>
        </w:rPr>
        <w:t>lus</w:t>
      </w:r>
      <w:r>
        <w:rPr>
          <w:rFonts w:ascii="Tahoma" w:hAnsi="Tahoma" w:cs="Tahoma"/>
        </w:rPr>
        <w:t xml:space="preserve"> de tendance</w:t>
      </w:r>
      <w:r w:rsidR="007470BF">
        <w:rPr>
          <w:rFonts w:ascii="Tahoma" w:hAnsi="Tahoma" w:cs="Tahoma"/>
        </w:rPr>
        <w:t xml:space="preserve"> baissière</w:t>
      </w:r>
      <w:r>
        <w:rPr>
          <w:rFonts w:ascii="Tahoma" w:hAnsi="Tahoma" w:cs="Tahoma"/>
        </w:rPr>
        <w:t>. Cette volatilité favorise les successions de hausses et de baisses.</w:t>
      </w:r>
      <w:r w:rsidR="00DA096B">
        <w:rPr>
          <w:rFonts w:ascii="Tahoma" w:hAnsi="Tahoma" w:cs="Tahoma"/>
        </w:rPr>
        <w:t xml:space="preserve"> </w:t>
      </w:r>
    </w:p>
    <w:p w14:paraId="6C5EE48F" w14:textId="77777777" w:rsidR="00342AFF" w:rsidRDefault="00342AFF" w:rsidP="007F6E22">
      <w:pPr>
        <w:jc w:val="both"/>
        <w:rPr>
          <w:rFonts w:ascii="Tahoma" w:hAnsi="Tahoma" w:cs="Tahoma"/>
        </w:rPr>
      </w:pPr>
    </w:p>
    <w:p w14:paraId="215A4EB5" w14:textId="208A4D31" w:rsidR="005E0F40" w:rsidRDefault="005E0F40" w:rsidP="005E0F40">
      <w:pPr>
        <w:jc w:val="both"/>
        <w:rPr>
          <w:rFonts w:ascii="Tahoma" w:hAnsi="Tahoma" w:cs="Tahoma"/>
        </w:rPr>
      </w:pPr>
      <w:r>
        <w:rPr>
          <w:rFonts w:ascii="Tahoma" w:hAnsi="Tahoma" w:cs="Tahoma"/>
          <w:u w:val="single"/>
        </w:rPr>
        <w:t>CONCLUSION</w:t>
      </w:r>
      <w:r>
        <w:rPr>
          <w:rFonts w:ascii="Tahoma" w:hAnsi="Tahoma" w:cs="Tahoma"/>
        </w:rPr>
        <w:t> :</w:t>
      </w:r>
      <w:r w:rsidR="00907D9B">
        <w:rPr>
          <w:rFonts w:ascii="Tahoma" w:hAnsi="Tahoma" w:cs="Tahoma"/>
        </w:rPr>
        <w:t xml:space="preserve"> volatilité sur le court terme </w:t>
      </w:r>
      <w:r w:rsidR="00E657D6">
        <w:rPr>
          <w:rFonts w:ascii="Tahoma" w:hAnsi="Tahoma" w:cs="Tahoma"/>
        </w:rPr>
        <w:t>au-dessus</w:t>
      </w:r>
      <w:r w:rsidR="007B4555">
        <w:rPr>
          <w:rFonts w:ascii="Tahoma" w:hAnsi="Tahoma" w:cs="Tahoma"/>
        </w:rPr>
        <w:t xml:space="preserve"> de 1620. Cette situation pourrait déboucher sur une correction haussière en tenue de 1948.</w:t>
      </w:r>
    </w:p>
    <w:p w14:paraId="1FA3AA99" w14:textId="6D2D2833" w:rsidR="008567DE" w:rsidRDefault="008567DE" w:rsidP="007F6E22">
      <w:pPr>
        <w:jc w:val="both"/>
        <w:rPr>
          <w:rFonts w:ascii="Tahoma" w:hAnsi="Tahoma" w:cs="Tahoma"/>
        </w:rPr>
      </w:pPr>
    </w:p>
    <w:p w14:paraId="786C2CCD" w14:textId="68FFB379" w:rsidR="00D45A59" w:rsidRDefault="00D45A59" w:rsidP="007F6E22">
      <w:pPr>
        <w:jc w:val="both"/>
        <w:rPr>
          <w:rFonts w:ascii="Tahoma" w:hAnsi="Tahoma" w:cs="Tahoma"/>
        </w:rPr>
      </w:pPr>
    </w:p>
    <w:p w14:paraId="349524AA" w14:textId="58AC6353" w:rsidR="00D45A59" w:rsidRDefault="00D45A59" w:rsidP="007F6E22">
      <w:pPr>
        <w:jc w:val="both"/>
        <w:rPr>
          <w:rFonts w:ascii="Tahoma" w:hAnsi="Tahoma" w:cs="Tahoma"/>
        </w:rPr>
      </w:pPr>
    </w:p>
    <w:p w14:paraId="686B51A0" w14:textId="7827453B" w:rsidR="00D45A59" w:rsidRDefault="00D45A59" w:rsidP="007F6E22">
      <w:pPr>
        <w:jc w:val="both"/>
        <w:rPr>
          <w:rFonts w:ascii="Tahoma" w:hAnsi="Tahoma" w:cs="Tahoma"/>
        </w:rPr>
      </w:pPr>
    </w:p>
    <w:p w14:paraId="2DFA174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993366"/>
          <w:sz w:val="24"/>
          <w:szCs w:val="24"/>
          <w:lang w:eastAsia="fr-FR"/>
        </w:rPr>
        <w:t>TS (mauve)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sur les 9 dernières périodes</w:t>
      </w:r>
    </w:p>
    <w:p w14:paraId="6E5BBF0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50BCECB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AD0FC8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008000"/>
          <w:sz w:val="24"/>
          <w:szCs w:val="24"/>
          <w:lang w:eastAsia="fr-FR"/>
        </w:rPr>
        <w:t>KS (vert)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sur les 26 dernières périodes</w:t>
      </w:r>
    </w:p>
    <w:p w14:paraId="3E74595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2  </w:t>
      </w:r>
    </w:p>
    <w:p w14:paraId="1093AB48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color w:val="FF6600"/>
          <w:sz w:val="24"/>
          <w:szCs w:val="24"/>
          <w:lang w:eastAsia="fr-FR"/>
        </w:rPr>
        <w:lastRenderedPageBreak/>
        <w:t>LS (orange)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= clôture                                           décalée de 26 périodes en arrière</w:t>
      </w:r>
    </w:p>
    <w:p w14:paraId="0C1EB2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0BBBE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SSA (bordure du nuage) =  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TS + KS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projetée 26 périodes en avant</w:t>
      </w:r>
    </w:p>
    <w:p w14:paraId="0D8327D1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2</w:t>
      </w:r>
    </w:p>
    <w:p w14:paraId="7B9B469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EEF8AD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SSB (bordure opposée du nuage) = </w:t>
      </w: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plus haut + plus bas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sur les 52 dernières </w:t>
      </w:r>
    </w:p>
    <w:p w14:paraId="16AD0889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                                                                        2</w:t>
      </w:r>
    </w:p>
    <w:p w14:paraId="072D216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9661CC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périodes, projetées 26 périodes en avant</w:t>
      </w:r>
    </w:p>
    <w:p w14:paraId="0D6B6513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C114EC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F0765E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u w:val="single"/>
          <w:lang w:eastAsia="fr-FR"/>
        </w:rPr>
        <w:t>Unités de temps</w:t>
      </w: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 : </w:t>
      </w:r>
    </w:p>
    <w:p w14:paraId="09DD51D2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A98A55B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W: weekly</w:t>
      </w:r>
    </w:p>
    <w:p w14:paraId="1D0C532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7CDEB06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D: daily</w:t>
      </w:r>
    </w:p>
    <w:p w14:paraId="0621F97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606D38B4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 xml:space="preserve">H4: base 4 heures  </w:t>
      </w:r>
    </w:p>
    <w:p w14:paraId="59253ABD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044B4D57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H1 : base horaire</w:t>
      </w:r>
    </w:p>
    <w:p w14:paraId="57E2AC90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2E0305BA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  <w:r w:rsidRPr="00D45A59">
        <w:rPr>
          <w:rFonts w:ascii="Arial" w:eastAsia="Calibri" w:hAnsi="Arial" w:cs="Arial"/>
          <w:b/>
          <w:i/>
          <w:sz w:val="24"/>
          <w:szCs w:val="24"/>
          <w:lang w:eastAsia="fr-FR"/>
        </w:rPr>
        <w:t>30M : base 30 minutes</w:t>
      </w:r>
    </w:p>
    <w:p w14:paraId="44FF7C3F" w14:textId="77777777" w:rsidR="00D45A59" w:rsidRPr="00D45A59" w:rsidRDefault="00D45A59" w:rsidP="00D45A59">
      <w:pPr>
        <w:spacing w:after="0" w:line="240" w:lineRule="auto"/>
        <w:jc w:val="both"/>
        <w:rPr>
          <w:rFonts w:ascii="Arial" w:eastAsia="Calibri" w:hAnsi="Arial" w:cs="Arial"/>
          <w:b/>
          <w:i/>
          <w:sz w:val="24"/>
          <w:szCs w:val="24"/>
          <w:lang w:eastAsia="fr-FR"/>
        </w:rPr>
      </w:pPr>
    </w:p>
    <w:p w14:paraId="1597EE09" w14:textId="77777777" w:rsidR="00D45A59" w:rsidRPr="00D569E8" w:rsidRDefault="00D45A59" w:rsidP="007F6E22">
      <w:pPr>
        <w:jc w:val="both"/>
        <w:rPr>
          <w:rFonts w:ascii="Tahoma" w:hAnsi="Tahoma" w:cs="Tahoma"/>
        </w:rPr>
      </w:pPr>
    </w:p>
    <w:sectPr w:rsidR="00D45A59" w:rsidRPr="00D569E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569E8"/>
    <w:rsid w:val="00046E8B"/>
    <w:rsid w:val="00051D60"/>
    <w:rsid w:val="0005563F"/>
    <w:rsid w:val="00092058"/>
    <w:rsid w:val="000F3005"/>
    <w:rsid w:val="00110ADF"/>
    <w:rsid w:val="00113C92"/>
    <w:rsid w:val="00140A73"/>
    <w:rsid w:val="00157524"/>
    <w:rsid w:val="001F3773"/>
    <w:rsid w:val="00217087"/>
    <w:rsid w:val="002244B9"/>
    <w:rsid w:val="00264400"/>
    <w:rsid w:val="002A5DC5"/>
    <w:rsid w:val="002B27CF"/>
    <w:rsid w:val="002C4CD0"/>
    <w:rsid w:val="002E7AF3"/>
    <w:rsid w:val="00306FDE"/>
    <w:rsid w:val="00342AFF"/>
    <w:rsid w:val="00394D2F"/>
    <w:rsid w:val="003D1D17"/>
    <w:rsid w:val="003D5F5E"/>
    <w:rsid w:val="00422EBA"/>
    <w:rsid w:val="004475E1"/>
    <w:rsid w:val="00447D4B"/>
    <w:rsid w:val="005440A4"/>
    <w:rsid w:val="00563CB1"/>
    <w:rsid w:val="00572015"/>
    <w:rsid w:val="00584211"/>
    <w:rsid w:val="005E0F40"/>
    <w:rsid w:val="007470BF"/>
    <w:rsid w:val="00760FE2"/>
    <w:rsid w:val="007923BF"/>
    <w:rsid w:val="007B4555"/>
    <w:rsid w:val="007F6E22"/>
    <w:rsid w:val="0081635D"/>
    <w:rsid w:val="00826F39"/>
    <w:rsid w:val="008567DE"/>
    <w:rsid w:val="008F21BD"/>
    <w:rsid w:val="008F230F"/>
    <w:rsid w:val="008F7E7D"/>
    <w:rsid w:val="00907D9B"/>
    <w:rsid w:val="009371C0"/>
    <w:rsid w:val="0094194C"/>
    <w:rsid w:val="009459DC"/>
    <w:rsid w:val="0095302C"/>
    <w:rsid w:val="00960940"/>
    <w:rsid w:val="00967DAB"/>
    <w:rsid w:val="009B7066"/>
    <w:rsid w:val="00A04A9A"/>
    <w:rsid w:val="00A2095B"/>
    <w:rsid w:val="00A638CC"/>
    <w:rsid w:val="00A95C6D"/>
    <w:rsid w:val="00AB5230"/>
    <w:rsid w:val="00B80D9F"/>
    <w:rsid w:val="00BB046F"/>
    <w:rsid w:val="00BB4354"/>
    <w:rsid w:val="00C07406"/>
    <w:rsid w:val="00D21870"/>
    <w:rsid w:val="00D22EEE"/>
    <w:rsid w:val="00D45A59"/>
    <w:rsid w:val="00D569E8"/>
    <w:rsid w:val="00DA096B"/>
    <w:rsid w:val="00DA4851"/>
    <w:rsid w:val="00DE3513"/>
    <w:rsid w:val="00E16DA6"/>
    <w:rsid w:val="00E657D6"/>
    <w:rsid w:val="00E66C16"/>
    <w:rsid w:val="00E85C65"/>
    <w:rsid w:val="00F17ECE"/>
    <w:rsid w:val="00F94E2A"/>
    <w:rsid w:val="00FA6717"/>
    <w:rsid w:val="00FB4033"/>
    <w:rsid w:val="00FF2F62"/>
    <w:rsid w:val="00FF738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2BA1F0"/>
  <w15:chartTrackingRefBased/>
  <w15:docId w15:val="{95855814-892B-42E1-A93E-393D186626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950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D4C70A5-019E-481D-A4D9-EBB2C50DC5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485</Words>
  <Characters>2670</Characters>
  <Application>Microsoft Office Word</Application>
  <DocSecurity>0</DocSecurity>
  <Lines>22</Lines>
  <Paragraphs>6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jean-luc attal</dc:creator>
  <cp:keywords/>
  <dc:description/>
  <cp:lastModifiedBy>jean-luc attal</cp:lastModifiedBy>
  <cp:revision>2</cp:revision>
  <dcterms:created xsi:type="dcterms:W3CDTF">2022-05-15T15:15:00Z</dcterms:created>
  <dcterms:modified xsi:type="dcterms:W3CDTF">2022-05-15T15:15:00Z</dcterms:modified>
</cp:coreProperties>
</file>