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17C4D05" w:rsidR="00902D2F" w:rsidRDefault="00305B19" w:rsidP="00B41C02">
      <w:pPr>
        <w:jc w:val="both"/>
        <w:rPr>
          <w:rFonts w:ascii="Tahoma" w:hAnsi="Tahoma" w:cs="Tahoma"/>
        </w:rPr>
      </w:pPr>
      <w:r>
        <w:rPr>
          <w:noProof/>
        </w:rPr>
        <w:drawing>
          <wp:inline distT="0" distB="0" distL="0" distR="0" wp14:anchorId="18A36D7E" wp14:editId="67BD2084">
            <wp:extent cx="5760691" cy="351282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7390" cy="3516905"/>
                    </a:xfrm>
                    <a:prstGeom prst="rect">
                      <a:avLst/>
                    </a:prstGeom>
                    <a:noFill/>
                    <a:ln>
                      <a:noFill/>
                    </a:ln>
                  </pic:spPr>
                </pic:pic>
              </a:graphicData>
            </a:graphic>
          </wp:inline>
        </w:drawing>
      </w:r>
    </w:p>
    <w:p w14:paraId="1135FA13" w14:textId="767460DA" w:rsidR="00CD0D96" w:rsidRDefault="00A910AD" w:rsidP="00263ED0">
      <w:pPr>
        <w:jc w:val="both"/>
        <w:rPr>
          <w:rFonts w:ascii="Tahoma" w:hAnsi="Tahoma" w:cs="Tahoma"/>
        </w:rPr>
      </w:pPr>
      <w:r>
        <w:rPr>
          <w:rFonts w:ascii="Tahoma" w:hAnsi="Tahoma" w:cs="Tahoma"/>
        </w:rPr>
        <w:t xml:space="preserve">Sur ces dernières semaines, l’indice a </w:t>
      </w:r>
      <w:r w:rsidR="006A0D13">
        <w:rPr>
          <w:rFonts w:ascii="Tahoma" w:hAnsi="Tahoma" w:cs="Tahoma"/>
        </w:rPr>
        <w:t>repris</w:t>
      </w:r>
      <w:r>
        <w:rPr>
          <w:rFonts w:ascii="Tahoma" w:hAnsi="Tahoma" w:cs="Tahoma"/>
        </w:rPr>
        <w:t xml:space="preserve"> sa baisse après un rebond</w:t>
      </w:r>
      <w:r w:rsidR="00CD0D96">
        <w:rPr>
          <w:rFonts w:ascii="Tahoma" w:hAnsi="Tahoma" w:cs="Tahoma"/>
        </w:rPr>
        <w:t xml:space="preserve"> au cours du mois de mai. L’action des banques centrales face à l’inflation augmente l’aversion au risque des investisseurs. Les prix sont ainsi revenus </w:t>
      </w:r>
      <w:r w:rsidR="00392980">
        <w:rPr>
          <w:rFonts w:ascii="Tahoma" w:hAnsi="Tahoma" w:cs="Tahoma"/>
        </w:rPr>
        <w:t xml:space="preserve">sur </w:t>
      </w:r>
      <w:r w:rsidR="00CD0D96">
        <w:rPr>
          <w:rFonts w:ascii="Tahoma" w:hAnsi="Tahoma" w:cs="Tahoma"/>
        </w:rPr>
        <w:t xml:space="preserve">les niveaux bas récents du </w:t>
      </w:r>
      <w:r w:rsidR="00782809">
        <w:rPr>
          <w:rFonts w:ascii="Tahoma" w:hAnsi="Tahoma" w:cs="Tahoma"/>
        </w:rPr>
        <w:t>mois de mars.</w:t>
      </w:r>
    </w:p>
    <w:p w14:paraId="0DC73824" w14:textId="06FD8881" w:rsidR="00E854FD" w:rsidRDefault="00782809" w:rsidP="00B41C02">
      <w:pPr>
        <w:jc w:val="both"/>
        <w:rPr>
          <w:rFonts w:ascii="Tahoma" w:hAnsi="Tahoma" w:cs="Tahoma"/>
        </w:rPr>
      </w:pPr>
      <w:r>
        <w:rPr>
          <w:rFonts w:ascii="Tahoma" w:hAnsi="Tahoma" w:cs="Tahoma"/>
        </w:rPr>
        <w:t xml:space="preserve">La </w:t>
      </w:r>
      <w:r w:rsidR="006A0D13">
        <w:rPr>
          <w:rFonts w:ascii="Tahoma" w:hAnsi="Tahoma" w:cs="Tahoma"/>
        </w:rPr>
        <w:t>fenêtre</w:t>
      </w:r>
      <w:r>
        <w:rPr>
          <w:rFonts w:ascii="Tahoma" w:hAnsi="Tahoma" w:cs="Tahoma"/>
        </w:rPr>
        <w:t xml:space="preserve"> ouverte (gap) cette semaine entre 3596 et 3560 va nous permettre de cadrer le marché. </w:t>
      </w:r>
    </w:p>
    <w:p w14:paraId="5C28F6F5" w14:textId="21BAF0B9" w:rsidR="00E854FD" w:rsidRDefault="00782809" w:rsidP="00B41C02">
      <w:pPr>
        <w:jc w:val="both"/>
        <w:rPr>
          <w:rFonts w:ascii="Tahoma" w:hAnsi="Tahoma" w:cs="Tahoma"/>
        </w:rPr>
      </w:pPr>
      <w:r>
        <w:rPr>
          <w:rFonts w:ascii="Tahoma" w:hAnsi="Tahoma" w:cs="Tahoma"/>
        </w:rPr>
        <w:t xml:space="preserve">En effet les </w:t>
      </w:r>
      <w:r w:rsidR="006A0D13">
        <w:rPr>
          <w:rFonts w:ascii="Tahoma" w:hAnsi="Tahoma" w:cs="Tahoma"/>
        </w:rPr>
        <w:t>fenêtres</w:t>
      </w:r>
      <w:r>
        <w:rPr>
          <w:rFonts w:ascii="Tahoma" w:hAnsi="Tahoma" w:cs="Tahoma"/>
        </w:rPr>
        <w:t xml:space="preserve"> se classent dans les figures de continuation de mouvement. Cela signifie que nous avons pour l’instant une information qui plaide</w:t>
      </w:r>
      <w:r w:rsidR="00392980">
        <w:rPr>
          <w:rFonts w:ascii="Tahoma" w:hAnsi="Tahoma" w:cs="Tahoma"/>
        </w:rPr>
        <w:t>ra</w:t>
      </w:r>
      <w:r>
        <w:rPr>
          <w:rFonts w:ascii="Tahoma" w:hAnsi="Tahoma" w:cs="Tahoma"/>
        </w:rPr>
        <w:t xml:space="preserve"> pour la baisse tant que cette configuration graphique ne sera pas invalidée. Contrairement à l’analyse technique occidentale </w:t>
      </w:r>
      <w:r w:rsidR="00930360">
        <w:rPr>
          <w:rFonts w:ascii="Tahoma" w:hAnsi="Tahoma" w:cs="Tahoma"/>
        </w:rPr>
        <w:t xml:space="preserve">l’annulation </w:t>
      </w:r>
      <w:r w:rsidR="00392980">
        <w:rPr>
          <w:rFonts w:ascii="Tahoma" w:hAnsi="Tahoma" w:cs="Tahoma"/>
        </w:rPr>
        <w:t>d’une</w:t>
      </w:r>
      <w:r w:rsidR="00930360">
        <w:rPr>
          <w:rFonts w:ascii="Tahoma" w:hAnsi="Tahoma" w:cs="Tahoma"/>
        </w:rPr>
        <w:t xml:space="preserve"> </w:t>
      </w:r>
      <w:r w:rsidR="006A0D13">
        <w:rPr>
          <w:rFonts w:ascii="Tahoma" w:hAnsi="Tahoma" w:cs="Tahoma"/>
        </w:rPr>
        <w:t>fenêtre</w:t>
      </w:r>
      <w:r w:rsidR="00930360">
        <w:rPr>
          <w:rFonts w:ascii="Tahoma" w:hAnsi="Tahoma" w:cs="Tahoma"/>
        </w:rPr>
        <w:t xml:space="preserve"> passe par une </w:t>
      </w:r>
      <w:r w:rsidR="006A0D13">
        <w:rPr>
          <w:rFonts w:ascii="Tahoma" w:hAnsi="Tahoma" w:cs="Tahoma"/>
        </w:rPr>
        <w:t>clôture</w:t>
      </w:r>
      <w:r w:rsidR="00930360">
        <w:rPr>
          <w:rFonts w:ascii="Tahoma" w:hAnsi="Tahoma" w:cs="Tahoma"/>
        </w:rPr>
        <w:t xml:space="preserve"> </w:t>
      </w:r>
      <w:r w:rsidR="006A0D13">
        <w:rPr>
          <w:rFonts w:ascii="Tahoma" w:hAnsi="Tahoma" w:cs="Tahoma"/>
        </w:rPr>
        <w:t>au-delà</w:t>
      </w:r>
      <w:r w:rsidR="00930360">
        <w:rPr>
          <w:rFonts w:ascii="Tahoma" w:hAnsi="Tahoma" w:cs="Tahoma"/>
        </w:rPr>
        <w:t xml:space="preserve"> de son point d’ouverture. Cela signifie que l’indice devra </w:t>
      </w:r>
      <w:r w:rsidR="00C40ED3">
        <w:rPr>
          <w:rFonts w:ascii="Tahoma" w:hAnsi="Tahoma" w:cs="Tahoma"/>
        </w:rPr>
        <w:t xml:space="preserve">s’établir </w:t>
      </w:r>
      <w:r w:rsidR="006A0D13">
        <w:rPr>
          <w:rFonts w:ascii="Tahoma" w:hAnsi="Tahoma" w:cs="Tahoma"/>
        </w:rPr>
        <w:t>au-dessus</w:t>
      </w:r>
      <w:r w:rsidR="00C40ED3">
        <w:rPr>
          <w:rFonts w:ascii="Tahoma" w:hAnsi="Tahoma" w:cs="Tahoma"/>
        </w:rPr>
        <w:t xml:space="preserve"> de 3596 pour annuler l’impact négatif de la </w:t>
      </w:r>
      <w:r w:rsidR="006A0D13">
        <w:rPr>
          <w:rFonts w:ascii="Tahoma" w:hAnsi="Tahoma" w:cs="Tahoma"/>
        </w:rPr>
        <w:t>fenêtre</w:t>
      </w:r>
      <w:r w:rsidR="00C40ED3">
        <w:rPr>
          <w:rFonts w:ascii="Tahoma" w:hAnsi="Tahoma" w:cs="Tahoma"/>
        </w:rPr>
        <w:t xml:space="preserve"> sur les prix</w:t>
      </w:r>
      <w:r w:rsidR="00392980">
        <w:rPr>
          <w:rFonts w:ascii="Tahoma" w:hAnsi="Tahoma" w:cs="Tahoma"/>
        </w:rPr>
        <w:t xml:space="preserve"> ou qu’u</w:t>
      </w:r>
      <w:r w:rsidR="00E854FD">
        <w:rPr>
          <w:rFonts w:ascii="Tahoma" w:hAnsi="Tahoma" w:cs="Tahoma"/>
        </w:rPr>
        <w:t xml:space="preserve">n dépassement sans </w:t>
      </w:r>
      <w:r w:rsidR="006A0D13">
        <w:rPr>
          <w:rFonts w:ascii="Tahoma" w:hAnsi="Tahoma" w:cs="Tahoma"/>
        </w:rPr>
        <w:t>clôture</w:t>
      </w:r>
      <w:r w:rsidR="00E854FD">
        <w:rPr>
          <w:rFonts w:ascii="Tahoma" w:hAnsi="Tahoma" w:cs="Tahoma"/>
        </w:rPr>
        <w:t xml:space="preserve"> </w:t>
      </w:r>
      <w:r w:rsidR="006A0D13">
        <w:rPr>
          <w:rFonts w:ascii="Tahoma" w:hAnsi="Tahoma" w:cs="Tahoma"/>
        </w:rPr>
        <w:t>au-dessus</w:t>
      </w:r>
      <w:r w:rsidR="00E854FD">
        <w:rPr>
          <w:rFonts w:ascii="Tahoma" w:hAnsi="Tahoma" w:cs="Tahoma"/>
        </w:rPr>
        <w:t xml:space="preserve"> de 3596 ne l’annulera pas.</w:t>
      </w:r>
    </w:p>
    <w:p w14:paraId="460BB8DF" w14:textId="1BB1B4BD" w:rsidR="00953E80" w:rsidRDefault="00953E80" w:rsidP="00B41C02">
      <w:pPr>
        <w:jc w:val="both"/>
        <w:rPr>
          <w:rFonts w:ascii="Tahoma" w:hAnsi="Tahoma" w:cs="Tahoma"/>
        </w:rPr>
      </w:pPr>
      <w:r>
        <w:rPr>
          <w:rFonts w:ascii="Tahoma" w:hAnsi="Tahoma" w:cs="Tahoma"/>
        </w:rPr>
        <w:t>La LS est sorti</w:t>
      </w:r>
      <w:r w:rsidR="00392980">
        <w:rPr>
          <w:rFonts w:ascii="Tahoma" w:hAnsi="Tahoma" w:cs="Tahoma"/>
        </w:rPr>
        <w:t>e</w:t>
      </w:r>
      <w:r>
        <w:rPr>
          <w:rFonts w:ascii="Tahoma" w:hAnsi="Tahoma" w:cs="Tahoma"/>
        </w:rPr>
        <w:t xml:space="preserve"> de son nuage par le bas, cette action nous confirme que sur le moyen terme, le contexte est passé baissier. La bordure basse du nuage se situera cette semaine sur 3586. Elle renforcera la résistance concrétisée par le point haut de la </w:t>
      </w:r>
      <w:r w:rsidR="006A0D13">
        <w:rPr>
          <w:rFonts w:ascii="Tahoma" w:hAnsi="Tahoma" w:cs="Tahoma"/>
        </w:rPr>
        <w:t>fenêtre</w:t>
      </w:r>
      <w:r>
        <w:rPr>
          <w:rFonts w:ascii="Tahoma" w:hAnsi="Tahoma" w:cs="Tahoma"/>
        </w:rPr>
        <w:t>.</w:t>
      </w:r>
    </w:p>
    <w:p w14:paraId="7AC4D2D2" w14:textId="5F6976EA" w:rsidR="00DF072F" w:rsidRDefault="00953E80" w:rsidP="00B41C02">
      <w:pPr>
        <w:jc w:val="both"/>
        <w:rPr>
          <w:rFonts w:ascii="Tahoma" w:hAnsi="Tahoma" w:cs="Tahoma"/>
        </w:rPr>
      </w:pPr>
      <w:r>
        <w:rPr>
          <w:rFonts w:ascii="Tahoma" w:hAnsi="Tahoma" w:cs="Tahoma"/>
        </w:rPr>
        <w:t xml:space="preserve">Le point bas de mars de </w:t>
      </w:r>
      <w:r w:rsidR="00FF721F">
        <w:rPr>
          <w:rFonts w:ascii="Tahoma" w:hAnsi="Tahoma" w:cs="Tahoma"/>
        </w:rPr>
        <w:t xml:space="preserve">3387 devra être enfoncé pour </w:t>
      </w:r>
      <w:r w:rsidR="006A0D13">
        <w:rPr>
          <w:rFonts w:ascii="Tahoma" w:hAnsi="Tahoma" w:cs="Tahoma"/>
        </w:rPr>
        <w:t>envisager</w:t>
      </w:r>
      <w:r w:rsidR="00FF721F">
        <w:rPr>
          <w:rFonts w:ascii="Tahoma" w:hAnsi="Tahoma" w:cs="Tahoma"/>
        </w:rPr>
        <w:t xml:space="preserve"> une poursuite de la baisse. Les plats de SSB et de KS se poursuivront tant que les cours se maintiendront </w:t>
      </w:r>
      <w:r w:rsidR="006A0D13">
        <w:rPr>
          <w:rFonts w:ascii="Tahoma" w:hAnsi="Tahoma" w:cs="Tahoma"/>
        </w:rPr>
        <w:t>au-dessus</w:t>
      </w:r>
      <w:r w:rsidR="00FF721F">
        <w:rPr>
          <w:rFonts w:ascii="Tahoma" w:hAnsi="Tahoma" w:cs="Tahoma"/>
        </w:rPr>
        <w:t xml:space="preserve"> de ce support de 3387. Et un plat de SSB qui se prolonge traduit plus de la volatilité qu’une tendance. Cela signifie </w:t>
      </w:r>
      <w:r w:rsidR="006A0D13">
        <w:rPr>
          <w:rFonts w:ascii="Tahoma" w:hAnsi="Tahoma" w:cs="Tahoma"/>
        </w:rPr>
        <w:t>entre autres</w:t>
      </w:r>
      <w:r w:rsidR="00FF721F">
        <w:rPr>
          <w:rFonts w:ascii="Tahoma" w:hAnsi="Tahoma" w:cs="Tahoma"/>
        </w:rPr>
        <w:t xml:space="preserve"> qu’un rebond haussier restera possible tant que 3387 ne sera pas franchi</w:t>
      </w:r>
      <w:r w:rsidR="00FB576D">
        <w:rPr>
          <w:rFonts w:ascii="Tahoma" w:hAnsi="Tahoma" w:cs="Tahoma"/>
        </w:rPr>
        <w:t>.</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28999410" w14:textId="554022BB" w:rsidR="00583BC8" w:rsidRDefault="00305B19" w:rsidP="00B41C02">
      <w:pPr>
        <w:jc w:val="both"/>
        <w:rPr>
          <w:rFonts w:ascii="Tahoma" w:hAnsi="Tahoma" w:cs="Tahoma"/>
        </w:rPr>
      </w:pPr>
      <w:r>
        <w:rPr>
          <w:noProof/>
        </w:rPr>
        <w:drawing>
          <wp:inline distT="0" distB="0" distL="0" distR="0" wp14:anchorId="43201055" wp14:editId="4264B21C">
            <wp:extent cx="5760085" cy="328422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4356" cy="3286655"/>
                    </a:xfrm>
                    <a:prstGeom prst="rect">
                      <a:avLst/>
                    </a:prstGeom>
                    <a:noFill/>
                    <a:ln>
                      <a:noFill/>
                    </a:ln>
                  </pic:spPr>
                </pic:pic>
              </a:graphicData>
            </a:graphic>
          </wp:inline>
        </w:drawing>
      </w:r>
    </w:p>
    <w:p w14:paraId="710BA38C" w14:textId="6147D784" w:rsidR="00163C46" w:rsidRDefault="00352DD9" w:rsidP="00263ED0">
      <w:pPr>
        <w:jc w:val="both"/>
        <w:rPr>
          <w:rFonts w:ascii="Tahoma" w:hAnsi="Tahoma" w:cs="Tahoma"/>
        </w:rPr>
      </w:pPr>
      <w:r>
        <w:rPr>
          <w:rFonts w:ascii="Tahoma" w:hAnsi="Tahoma" w:cs="Tahoma"/>
        </w:rPr>
        <w:t xml:space="preserve">La </w:t>
      </w:r>
      <w:r w:rsidR="00984F13">
        <w:rPr>
          <w:rFonts w:ascii="Tahoma" w:hAnsi="Tahoma" w:cs="Tahoma"/>
        </w:rPr>
        <w:t xml:space="preserve">dernière chandelle en marteau inversé se classe dans les alertes haussières qui demandent confirmation. </w:t>
      </w:r>
    </w:p>
    <w:p w14:paraId="1C23CC88" w14:textId="03C1844D" w:rsidR="00984F13" w:rsidRDefault="00984F13" w:rsidP="00263ED0">
      <w:pPr>
        <w:jc w:val="both"/>
        <w:rPr>
          <w:rFonts w:ascii="Tahoma" w:hAnsi="Tahoma" w:cs="Tahoma"/>
        </w:rPr>
      </w:pPr>
      <w:r>
        <w:rPr>
          <w:rFonts w:ascii="Tahoma" w:hAnsi="Tahoma" w:cs="Tahoma"/>
        </w:rPr>
        <w:t xml:space="preserve">Ainsi </w:t>
      </w:r>
      <w:r w:rsidR="006E228C">
        <w:rPr>
          <w:rFonts w:ascii="Tahoma" w:hAnsi="Tahoma" w:cs="Tahoma"/>
        </w:rPr>
        <w:t>et malgré le contexte baissier dominant, une partie des vendeurs seront enclins à revoir leurs positions si après le haut à 3485 de vendredi, les cours repartaient à la hausse et dépassaient cette résistance. Ils auraient alors confirmation que le marché a touché un point bas.</w:t>
      </w:r>
    </w:p>
    <w:p w14:paraId="31FD3AF7" w14:textId="62865331" w:rsidR="006E228C" w:rsidRDefault="00F729C4" w:rsidP="00263ED0">
      <w:pPr>
        <w:jc w:val="both"/>
        <w:rPr>
          <w:rFonts w:ascii="Tahoma" w:hAnsi="Tahoma" w:cs="Tahoma"/>
        </w:rPr>
      </w:pPr>
      <w:r>
        <w:rPr>
          <w:rFonts w:ascii="Tahoma" w:hAnsi="Tahoma" w:cs="Tahoma"/>
        </w:rPr>
        <w:t>Si le dépassement de 3485 n’est pas immédiat, le creux en pince (deux derniers chandeliers) dessine un support sur 3420. Ce support incitera là encore les vendeurs à alléger leurs positions si l’indice ne parvient pas à faire de nouveaux bas.</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655E9AC0" w14:textId="569E6739"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85607B">
        <w:rPr>
          <w:rFonts w:ascii="Tahoma" w:hAnsi="Tahoma" w:cs="Tahoma"/>
        </w:rPr>
        <w:t xml:space="preserve"> Biais baissier sous 3596 mais le support de 3387 devra être franchi pour envisager une baisse plus étendue.</w:t>
      </w:r>
    </w:p>
    <w:p w14:paraId="7ECBFD62" w14:textId="6C03DD13" w:rsidR="00723F77" w:rsidRDefault="00723F77" w:rsidP="00041E45">
      <w:pPr>
        <w:jc w:val="both"/>
        <w:rPr>
          <w:rFonts w:ascii="Tahoma" w:hAnsi="Tahoma" w:cs="Tahoma"/>
        </w:rPr>
      </w:pPr>
    </w:p>
    <w:p w14:paraId="6B451B95" w14:textId="77777777" w:rsidR="00FB576D" w:rsidRDefault="00FB576D"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5B19"/>
    <w:rsid w:val="0030643B"/>
    <w:rsid w:val="00337611"/>
    <w:rsid w:val="00340FD9"/>
    <w:rsid w:val="00352DD9"/>
    <w:rsid w:val="00392980"/>
    <w:rsid w:val="0040171B"/>
    <w:rsid w:val="00467005"/>
    <w:rsid w:val="004A5154"/>
    <w:rsid w:val="00531928"/>
    <w:rsid w:val="00537953"/>
    <w:rsid w:val="005440A4"/>
    <w:rsid w:val="00546A5A"/>
    <w:rsid w:val="00566580"/>
    <w:rsid w:val="00567AF3"/>
    <w:rsid w:val="00583BC8"/>
    <w:rsid w:val="00654380"/>
    <w:rsid w:val="006A0D13"/>
    <w:rsid w:val="006E228C"/>
    <w:rsid w:val="006E32BB"/>
    <w:rsid w:val="00723F77"/>
    <w:rsid w:val="00744696"/>
    <w:rsid w:val="00772067"/>
    <w:rsid w:val="0077545D"/>
    <w:rsid w:val="00782809"/>
    <w:rsid w:val="007A0E6C"/>
    <w:rsid w:val="007B661D"/>
    <w:rsid w:val="007D19FF"/>
    <w:rsid w:val="007D2085"/>
    <w:rsid w:val="0083454A"/>
    <w:rsid w:val="00835AC6"/>
    <w:rsid w:val="00837B38"/>
    <w:rsid w:val="0085607B"/>
    <w:rsid w:val="00896554"/>
    <w:rsid w:val="008A7407"/>
    <w:rsid w:val="008F10C2"/>
    <w:rsid w:val="00902D2F"/>
    <w:rsid w:val="00930360"/>
    <w:rsid w:val="00953E80"/>
    <w:rsid w:val="00961FDF"/>
    <w:rsid w:val="0096768D"/>
    <w:rsid w:val="00983B7D"/>
    <w:rsid w:val="00984F13"/>
    <w:rsid w:val="009A37C2"/>
    <w:rsid w:val="009F3AB8"/>
    <w:rsid w:val="00A11606"/>
    <w:rsid w:val="00A6401C"/>
    <w:rsid w:val="00A81AB7"/>
    <w:rsid w:val="00A910AD"/>
    <w:rsid w:val="00AE7F3B"/>
    <w:rsid w:val="00B34260"/>
    <w:rsid w:val="00B41C02"/>
    <w:rsid w:val="00B50E38"/>
    <w:rsid w:val="00B554B8"/>
    <w:rsid w:val="00B64EE0"/>
    <w:rsid w:val="00BB0E32"/>
    <w:rsid w:val="00BB6D9D"/>
    <w:rsid w:val="00BC77A5"/>
    <w:rsid w:val="00BD3FC1"/>
    <w:rsid w:val="00C17ED7"/>
    <w:rsid w:val="00C40ED3"/>
    <w:rsid w:val="00C41F15"/>
    <w:rsid w:val="00C70171"/>
    <w:rsid w:val="00C70A68"/>
    <w:rsid w:val="00C82E98"/>
    <w:rsid w:val="00CC7C21"/>
    <w:rsid w:val="00CD0D96"/>
    <w:rsid w:val="00CE0886"/>
    <w:rsid w:val="00CF2516"/>
    <w:rsid w:val="00CF6D63"/>
    <w:rsid w:val="00D23B28"/>
    <w:rsid w:val="00D46C8D"/>
    <w:rsid w:val="00DA584E"/>
    <w:rsid w:val="00DE5444"/>
    <w:rsid w:val="00DF072F"/>
    <w:rsid w:val="00E32014"/>
    <w:rsid w:val="00E854FD"/>
    <w:rsid w:val="00EB58BA"/>
    <w:rsid w:val="00F04A6E"/>
    <w:rsid w:val="00F04DEF"/>
    <w:rsid w:val="00F31070"/>
    <w:rsid w:val="00F53F10"/>
    <w:rsid w:val="00F636F8"/>
    <w:rsid w:val="00F729C4"/>
    <w:rsid w:val="00FA2C8E"/>
    <w:rsid w:val="00FB576D"/>
    <w:rsid w:val="00FC1860"/>
    <w:rsid w:val="00FC7EA5"/>
    <w:rsid w:val="00FF72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3</Pages>
  <Words>488</Words>
  <Characters>2689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89</cp:revision>
  <dcterms:created xsi:type="dcterms:W3CDTF">2021-11-25T09:44:00Z</dcterms:created>
  <dcterms:modified xsi:type="dcterms:W3CDTF">2022-06-19T13:41:00Z</dcterms:modified>
</cp:coreProperties>
</file>