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78289224" w:rsidR="00902D2F" w:rsidRPr="00041E45" w:rsidRDefault="000B696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685822D0" w14:textId="7655A5BB" w:rsidR="006E32BB" w:rsidRDefault="00417B4E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453D600" wp14:editId="49A27DC5">
            <wp:extent cx="5760720" cy="370332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209BA" w14:textId="7137B10C" w:rsidR="002C6ADD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820D78">
        <w:rPr>
          <w:rFonts w:ascii="Tahoma" w:hAnsi="Tahoma" w:cs="Tahoma"/>
        </w:rPr>
        <w:t xml:space="preserve"> chandelle du mois de juin reprend avec sa longue mèche basse, les </w:t>
      </w:r>
      <w:r w:rsidR="00181D9B">
        <w:rPr>
          <w:rFonts w:ascii="Tahoma" w:hAnsi="Tahoma" w:cs="Tahoma"/>
        </w:rPr>
        <w:t>caractéristiques</w:t>
      </w:r>
      <w:r w:rsidR="00820D78">
        <w:rPr>
          <w:rFonts w:ascii="Tahoma" w:hAnsi="Tahoma" w:cs="Tahoma"/>
        </w:rPr>
        <w:t xml:space="preserve"> d’un marteau. Il montre que le marché a testé un point bas sur 140.67 et que des acheteurs sont intervenus sur ce niveau. </w:t>
      </w:r>
      <w:r w:rsidR="002C6ADD">
        <w:rPr>
          <w:rFonts w:ascii="Tahoma" w:hAnsi="Tahoma" w:cs="Tahoma"/>
        </w:rPr>
        <w:t xml:space="preserve">Les vendeurs quant à eux n’ont pas </w:t>
      </w:r>
      <w:r w:rsidR="00004917">
        <w:rPr>
          <w:rFonts w:ascii="Tahoma" w:hAnsi="Tahoma" w:cs="Tahoma"/>
        </w:rPr>
        <w:t>pu</w:t>
      </w:r>
      <w:r w:rsidR="002C6ADD">
        <w:rPr>
          <w:rFonts w:ascii="Tahoma" w:hAnsi="Tahoma" w:cs="Tahoma"/>
        </w:rPr>
        <w:t xml:space="preserve"> faire face à la pression acheteuse.</w:t>
      </w:r>
    </w:p>
    <w:p w14:paraId="7AC4D2D2" w14:textId="332F3E54" w:rsidR="00DF072F" w:rsidRDefault="002C6AD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marteau reste une alerte haussière qui demande confirmation. Cela signifie que la hausse devra se poursuivre en juillet et dépasser son ouverture de </w:t>
      </w:r>
      <w:r w:rsidR="000077A9">
        <w:rPr>
          <w:rFonts w:ascii="Tahoma" w:hAnsi="Tahoma" w:cs="Tahoma"/>
        </w:rPr>
        <w:t>152.05 pour inciter de nouveaux achats et porter les prix plus hauts.</w:t>
      </w:r>
    </w:p>
    <w:p w14:paraId="3676F0E3" w14:textId="51A4BAA2" w:rsidR="000077A9" w:rsidRDefault="000077A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la baisse sera écartée tant que le contrat se maintiendra </w:t>
      </w:r>
      <w:r w:rsidR="00181D9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point </w:t>
      </w:r>
      <w:r w:rsidR="00181D9B">
        <w:rPr>
          <w:rFonts w:ascii="Tahoma" w:hAnsi="Tahoma" w:cs="Tahoma"/>
        </w:rPr>
        <w:t>extrême</w:t>
      </w:r>
      <w:r>
        <w:rPr>
          <w:rFonts w:ascii="Tahoma" w:hAnsi="Tahoma" w:cs="Tahoma"/>
        </w:rPr>
        <w:t xml:space="preserve"> de la mèche basse. Cette ombre représente une zone d’achat comprise entre 140.67 et 148.78. </w:t>
      </w:r>
      <w:r w:rsidR="002D1122">
        <w:rPr>
          <w:rFonts w:ascii="Tahoma" w:hAnsi="Tahoma" w:cs="Tahoma"/>
        </w:rPr>
        <w:t xml:space="preserve">En toute logique, les stops de protection des acheteurs </w:t>
      </w:r>
      <w:r w:rsidR="00004917">
        <w:rPr>
          <w:rFonts w:ascii="Tahoma" w:hAnsi="Tahoma" w:cs="Tahoma"/>
        </w:rPr>
        <w:t xml:space="preserve">ne </w:t>
      </w:r>
      <w:r w:rsidR="002D1122">
        <w:rPr>
          <w:rFonts w:ascii="Tahoma" w:hAnsi="Tahoma" w:cs="Tahoma"/>
        </w:rPr>
        <w:t>devraient se déclencher qu’en rupture de 140.67.</w:t>
      </w:r>
    </w:p>
    <w:p w14:paraId="10BB9766" w14:textId="1BB41731" w:rsidR="00723F77" w:rsidRDefault="0096566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zone de résistance se situe entre 150.66 et 151.45. Elle est constituée de plats mensuel</w:t>
      </w:r>
      <w:r w:rsidR="00004917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(KS sur 150.66) et hebdomadaire (SSB sur 151.45). Entre ces deux plats se situe </w:t>
      </w:r>
      <w:r w:rsidR="00744FA1">
        <w:rPr>
          <w:rFonts w:ascii="Tahoma" w:hAnsi="Tahoma" w:cs="Tahoma"/>
        </w:rPr>
        <w:t xml:space="preserve">151.30, </w:t>
      </w:r>
      <w:r>
        <w:rPr>
          <w:rFonts w:ascii="Tahoma" w:hAnsi="Tahoma" w:cs="Tahoma"/>
        </w:rPr>
        <w:t xml:space="preserve">le niveau de retracement de 38.2% de la baisse comprise entre </w:t>
      </w:r>
      <w:r w:rsidR="00744FA1">
        <w:rPr>
          <w:rFonts w:ascii="Tahoma" w:hAnsi="Tahoma" w:cs="Tahoma"/>
        </w:rPr>
        <w:t xml:space="preserve">168.49 et 140.67. Ce ne sera qu’en dépassement de cette zone de résistance que l’on pourra envisager une </w:t>
      </w:r>
      <w:r w:rsidR="00A05FD3">
        <w:rPr>
          <w:rFonts w:ascii="Tahoma" w:hAnsi="Tahoma" w:cs="Tahoma"/>
        </w:rPr>
        <w:t>dynamique haussière plus étendue.</w:t>
      </w:r>
    </w:p>
    <w:p w14:paraId="258EB8FF" w14:textId="35E6DD1A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05FD3">
        <w:rPr>
          <w:rFonts w:ascii="Tahoma" w:hAnsi="Tahoma" w:cs="Tahoma"/>
        </w:rPr>
        <w:t xml:space="preserve"> Pas de baisse tant que les cours se maintiendront </w:t>
      </w:r>
      <w:r w:rsidR="00181D9B">
        <w:rPr>
          <w:rFonts w:ascii="Tahoma" w:hAnsi="Tahoma" w:cs="Tahoma"/>
        </w:rPr>
        <w:t>au-dessus</w:t>
      </w:r>
      <w:r w:rsidR="00A05FD3">
        <w:rPr>
          <w:rFonts w:ascii="Tahoma" w:hAnsi="Tahoma" w:cs="Tahoma"/>
        </w:rPr>
        <w:t xml:space="preserve"> de 140.67.</w:t>
      </w:r>
    </w:p>
    <w:p w14:paraId="777C2ACE" w14:textId="0D5AAEA0" w:rsidR="00A05FD3" w:rsidRDefault="00A05FD3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Consolidation envisagée si les prix ne </w:t>
      </w:r>
      <w:r w:rsidR="00181D9B">
        <w:rPr>
          <w:rFonts w:ascii="Tahoma" w:hAnsi="Tahoma" w:cs="Tahoma"/>
        </w:rPr>
        <w:t>cassent</w:t>
      </w:r>
      <w:r>
        <w:rPr>
          <w:rFonts w:ascii="Tahoma" w:hAnsi="Tahoma" w:cs="Tahoma"/>
        </w:rPr>
        <w:t xml:space="preserve"> pas 151.45.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4917"/>
    <w:rsid w:val="000077A9"/>
    <w:rsid w:val="0002580A"/>
    <w:rsid w:val="00041E45"/>
    <w:rsid w:val="000524C5"/>
    <w:rsid w:val="000556C3"/>
    <w:rsid w:val="000833FB"/>
    <w:rsid w:val="00092058"/>
    <w:rsid w:val="000938CC"/>
    <w:rsid w:val="000B221E"/>
    <w:rsid w:val="000B6968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81D9B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C6ADD"/>
    <w:rsid w:val="002D1122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17B4E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5B5962"/>
    <w:rsid w:val="00654380"/>
    <w:rsid w:val="00664BE1"/>
    <w:rsid w:val="006B055C"/>
    <w:rsid w:val="006E32BB"/>
    <w:rsid w:val="006E38E0"/>
    <w:rsid w:val="00710599"/>
    <w:rsid w:val="00723F77"/>
    <w:rsid w:val="00744696"/>
    <w:rsid w:val="00744FA1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20D78"/>
    <w:rsid w:val="0083454A"/>
    <w:rsid w:val="00837B38"/>
    <w:rsid w:val="00896554"/>
    <w:rsid w:val="008A7407"/>
    <w:rsid w:val="008F10C2"/>
    <w:rsid w:val="00902D2F"/>
    <w:rsid w:val="00961FDF"/>
    <w:rsid w:val="00965665"/>
    <w:rsid w:val="00983B7D"/>
    <w:rsid w:val="009A37C2"/>
    <w:rsid w:val="009F3AB8"/>
    <w:rsid w:val="00A05FD3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2</Pages>
  <Words>335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106</cp:revision>
  <dcterms:created xsi:type="dcterms:W3CDTF">2021-11-25T09:44:00Z</dcterms:created>
  <dcterms:modified xsi:type="dcterms:W3CDTF">2022-07-01T15:44:00Z</dcterms:modified>
</cp:coreProperties>
</file>