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2E408" w14:textId="0B03E349" w:rsidR="00826F39" w:rsidRPr="00826F39" w:rsidRDefault="00826F39">
      <w:pPr>
        <w:rPr>
          <w:sz w:val="48"/>
          <w:szCs w:val="48"/>
          <w:u w:val="single"/>
        </w:rPr>
      </w:pPr>
      <w:r w:rsidRPr="00826F39">
        <w:rPr>
          <w:sz w:val="48"/>
          <w:szCs w:val="48"/>
        </w:rPr>
        <w:t xml:space="preserve">                         </w:t>
      </w:r>
      <w:r w:rsidR="00D569E8" w:rsidRPr="00826F39">
        <w:rPr>
          <w:sz w:val="48"/>
          <w:szCs w:val="48"/>
          <w:u w:val="single"/>
        </w:rPr>
        <w:t>Ether</w:t>
      </w:r>
      <w:r w:rsidR="00217087">
        <w:rPr>
          <w:sz w:val="48"/>
          <w:szCs w:val="48"/>
          <w:u w:val="single"/>
        </w:rPr>
        <w:t>e</w:t>
      </w:r>
      <w:r w:rsidR="00D569E8" w:rsidRPr="00826F39">
        <w:rPr>
          <w:sz w:val="48"/>
          <w:szCs w:val="48"/>
          <w:u w:val="single"/>
        </w:rPr>
        <w:t xml:space="preserve">um     </w:t>
      </w:r>
    </w:p>
    <w:p w14:paraId="31B1B352" w14:textId="210567CE" w:rsidR="0005563F" w:rsidRDefault="002B27CF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Week</w:t>
      </w:r>
    </w:p>
    <w:p w14:paraId="793D23D1" w14:textId="16170EB9" w:rsidR="00D569E8" w:rsidRDefault="007556C1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0D9C902C" wp14:editId="1B1586C1">
            <wp:extent cx="5760228" cy="4015740"/>
            <wp:effectExtent l="0" t="0" r="0" b="381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152" cy="4018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3AB3CD" w14:textId="25875B50" w:rsidR="00D569E8" w:rsidRDefault="00D569E8">
      <w:pPr>
        <w:rPr>
          <w:sz w:val="32"/>
          <w:szCs w:val="32"/>
          <w:u w:val="single"/>
        </w:rPr>
      </w:pPr>
    </w:p>
    <w:p w14:paraId="117559AA" w14:textId="215F3F62" w:rsidR="00572015" w:rsidRDefault="00AB419B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Peut on parler de rebond dans la partie basse du canal baissier ? si c’est le cas, l’objectif se situe maintenant sur la borne haute d</w:t>
      </w:r>
      <w:r w:rsidR="00B10CCE">
        <w:rPr>
          <w:rFonts w:ascii="Tahoma" w:hAnsi="Tahoma" w:cs="Tahoma"/>
        </w:rPr>
        <w:t>u</w:t>
      </w:r>
      <w:r>
        <w:rPr>
          <w:rFonts w:ascii="Tahoma" w:hAnsi="Tahoma" w:cs="Tahoma"/>
        </w:rPr>
        <w:t xml:space="preserve"> canal à 2400.</w:t>
      </w:r>
    </w:p>
    <w:p w14:paraId="708268D2" w14:textId="130308F9" w:rsidR="00AB419B" w:rsidRDefault="00B10CCE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Mais a</w:t>
      </w:r>
      <w:r w:rsidR="00AB419B">
        <w:rPr>
          <w:rFonts w:ascii="Tahoma" w:hAnsi="Tahoma" w:cs="Tahoma"/>
        </w:rPr>
        <w:t>vant d’avoir une telle cible</w:t>
      </w:r>
      <w:r>
        <w:rPr>
          <w:rFonts w:ascii="Tahoma" w:hAnsi="Tahoma" w:cs="Tahoma"/>
        </w:rPr>
        <w:t>,</w:t>
      </w:r>
      <w:r w:rsidR="00AB419B">
        <w:rPr>
          <w:rFonts w:ascii="Tahoma" w:hAnsi="Tahoma" w:cs="Tahoma"/>
        </w:rPr>
        <w:t xml:space="preserve"> les cours devront s’affranchir de la longue chandelle noire de la semaine du 13 juin. Cette bougie sans ombre haute a renforcé le c</w:t>
      </w:r>
      <w:r>
        <w:rPr>
          <w:rFonts w:ascii="Tahoma" w:hAnsi="Tahoma" w:cs="Tahoma"/>
        </w:rPr>
        <w:t>aract</w:t>
      </w:r>
      <w:r w:rsidR="004B35AF">
        <w:rPr>
          <w:rFonts w:ascii="Tahoma" w:hAnsi="Tahoma" w:cs="Tahoma"/>
        </w:rPr>
        <w:t>èr</w:t>
      </w:r>
      <w:r>
        <w:rPr>
          <w:rFonts w:ascii="Tahoma" w:hAnsi="Tahoma" w:cs="Tahoma"/>
        </w:rPr>
        <w:t>e</w:t>
      </w:r>
      <w:r w:rsidR="00AB419B">
        <w:rPr>
          <w:rFonts w:ascii="Tahoma" w:hAnsi="Tahoma" w:cs="Tahoma"/>
        </w:rPr>
        <w:t xml:space="preserve"> baissier du marché. </w:t>
      </w:r>
    </w:p>
    <w:p w14:paraId="1FB3B2BE" w14:textId="3D9D509D" w:rsidR="00AB419B" w:rsidRDefault="00AB419B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Quoi qu’il en soit, un début de remise en question de cette longue chandelle noire et </w:t>
      </w:r>
      <w:r w:rsidR="009C3128">
        <w:rPr>
          <w:rFonts w:ascii="Tahoma" w:hAnsi="Tahoma" w:cs="Tahoma"/>
        </w:rPr>
        <w:t>de la poursuite de la baisse, passer</w:t>
      </w:r>
      <w:r w:rsidR="00B10CCE">
        <w:rPr>
          <w:rFonts w:ascii="Tahoma" w:hAnsi="Tahoma" w:cs="Tahoma"/>
        </w:rPr>
        <w:t>a</w:t>
      </w:r>
      <w:r w:rsidR="009C3128">
        <w:rPr>
          <w:rFonts w:ascii="Tahoma" w:hAnsi="Tahoma" w:cs="Tahoma"/>
        </w:rPr>
        <w:t xml:space="preserve"> par un dépassement de son point médian situé à 1200</w:t>
      </w:r>
      <w:r w:rsidR="00831E86">
        <w:rPr>
          <w:rFonts w:ascii="Tahoma" w:hAnsi="Tahoma" w:cs="Tahoma"/>
        </w:rPr>
        <w:t>, avant une invalidation totale en cassure de 1455.</w:t>
      </w:r>
    </w:p>
    <w:p w14:paraId="35DED4DD" w14:textId="7ADEFB04" w:rsidR="00831E86" w:rsidRDefault="00831E86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petit trend haussier va dans ce sens. Il se situera cette semaine sur le niveau de 1030.</w:t>
      </w:r>
    </w:p>
    <w:p w14:paraId="5750BF23" w14:textId="77777777" w:rsidR="00831E86" w:rsidRDefault="00831E86" w:rsidP="00826F39">
      <w:pPr>
        <w:jc w:val="both"/>
        <w:rPr>
          <w:rFonts w:ascii="Tahoma" w:hAnsi="Tahoma" w:cs="Tahoma"/>
        </w:rPr>
      </w:pPr>
    </w:p>
    <w:p w14:paraId="6C5EE48F" w14:textId="77777777" w:rsidR="00342AFF" w:rsidRDefault="00342AFF" w:rsidP="007F6E22">
      <w:pPr>
        <w:jc w:val="both"/>
        <w:rPr>
          <w:rFonts w:ascii="Tahoma" w:hAnsi="Tahoma" w:cs="Tahoma"/>
        </w:rPr>
      </w:pPr>
    </w:p>
    <w:p w14:paraId="215A4EB5" w14:textId="7ECC8CCC" w:rsidR="005E0F40" w:rsidRDefault="005E0F40" w:rsidP="005E0F40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CE1934">
        <w:rPr>
          <w:rFonts w:ascii="Tahoma" w:hAnsi="Tahoma" w:cs="Tahoma"/>
        </w:rPr>
        <w:t xml:space="preserve"> favorable à la hausse </w:t>
      </w:r>
      <w:r w:rsidR="00516753">
        <w:rPr>
          <w:rFonts w:ascii="Tahoma" w:hAnsi="Tahoma" w:cs="Tahoma"/>
        </w:rPr>
        <w:t>au-dessus</w:t>
      </w:r>
      <w:r w:rsidR="00CE1934">
        <w:rPr>
          <w:rFonts w:ascii="Tahoma" w:hAnsi="Tahoma" w:cs="Tahoma"/>
        </w:rPr>
        <w:t xml:space="preserve"> de 1030.</w:t>
      </w:r>
    </w:p>
    <w:p w14:paraId="1FA3AA99" w14:textId="6D2D2833" w:rsidR="008567DE" w:rsidRDefault="008567DE" w:rsidP="007F6E22">
      <w:pPr>
        <w:jc w:val="both"/>
        <w:rPr>
          <w:rFonts w:ascii="Tahoma" w:hAnsi="Tahoma" w:cs="Tahoma"/>
        </w:rPr>
      </w:pPr>
    </w:p>
    <w:p w14:paraId="786C2CCD" w14:textId="68FFB379" w:rsidR="00D45A59" w:rsidRDefault="00D45A59" w:rsidP="007F6E22">
      <w:pPr>
        <w:jc w:val="both"/>
        <w:rPr>
          <w:rFonts w:ascii="Tahoma" w:hAnsi="Tahoma" w:cs="Tahoma"/>
        </w:rPr>
      </w:pPr>
    </w:p>
    <w:p w14:paraId="349524AA" w14:textId="58AC6353" w:rsidR="00D45A59" w:rsidRDefault="00D45A59" w:rsidP="007F6E22">
      <w:pPr>
        <w:jc w:val="both"/>
        <w:rPr>
          <w:rFonts w:ascii="Tahoma" w:hAnsi="Tahoma" w:cs="Tahoma"/>
        </w:rPr>
      </w:pPr>
    </w:p>
    <w:p w14:paraId="686B51A0" w14:textId="7827453B" w:rsidR="00D45A59" w:rsidRDefault="00D45A59" w:rsidP="007F6E22">
      <w:pPr>
        <w:jc w:val="both"/>
        <w:rPr>
          <w:rFonts w:ascii="Tahoma" w:hAnsi="Tahoma" w:cs="Tahoma"/>
        </w:rPr>
      </w:pPr>
    </w:p>
    <w:p w14:paraId="2DFA174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6E5BBF0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BCECB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AD0FC8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3E74595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1093AB48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0C1EB2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0BBBE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0D8327D1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7B9B469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EEF8AD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6AD0889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072D21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9661CC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0D6B651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C114EC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0765E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09DD51D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A98A55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1D0C532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CDEB06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0621F97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06D38B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59253A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44B4D5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57E2AC9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E0305B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44FF7C3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597EE09" w14:textId="77777777" w:rsidR="00D45A59" w:rsidRPr="00D569E8" w:rsidRDefault="00D45A59" w:rsidP="007F6E22">
      <w:pPr>
        <w:jc w:val="both"/>
        <w:rPr>
          <w:rFonts w:ascii="Tahoma" w:hAnsi="Tahoma" w:cs="Tahoma"/>
        </w:rPr>
      </w:pPr>
    </w:p>
    <w:sectPr w:rsidR="00D45A59" w:rsidRPr="00D56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9E8"/>
    <w:rsid w:val="00046E8B"/>
    <w:rsid w:val="0005563F"/>
    <w:rsid w:val="00092058"/>
    <w:rsid w:val="00110ADF"/>
    <w:rsid w:val="00113C92"/>
    <w:rsid w:val="00140A73"/>
    <w:rsid w:val="00217087"/>
    <w:rsid w:val="002244B9"/>
    <w:rsid w:val="00264400"/>
    <w:rsid w:val="002A5DC5"/>
    <w:rsid w:val="002B27CF"/>
    <w:rsid w:val="002C4CD0"/>
    <w:rsid w:val="002E7AF3"/>
    <w:rsid w:val="00306FDE"/>
    <w:rsid w:val="00342AFF"/>
    <w:rsid w:val="00394D2F"/>
    <w:rsid w:val="003D1D17"/>
    <w:rsid w:val="004475E1"/>
    <w:rsid w:val="00447D4B"/>
    <w:rsid w:val="004B35AF"/>
    <w:rsid w:val="00516753"/>
    <w:rsid w:val="005440A4"/>
    <w:rsid w:val="00563CB1"/>
    <w:rsid w:val="00572015"/>
    <w:rsid w:val="005E0F40"/>
    <w:rsid w:val="007556C1"/>
    <w:rsid w:val="00760FE2"/>
    <w:rsid w:val="007923BF"/>
    <w:rsid w:val="007F6E22"/>
    <w:rsid w:val="0081635D"/>
    <w:rsid w:val="00826F39"/>
    <w:rsid w:val="00831E86"/>
    <w:rsid w:val="008567DE"/>
    <w:rsid w:val="008F21BD"/>
    <w:rsid w:val="008F230F"/>
    <w:rsid w:val="008F7E7D"/>
    <w:rsid w:val="0094194C"/>
    <w:rsid w:val="00960940"/>
    <w:rsid w:val="00967DAB"/>
    <w:rsid w:val="009B7066"/>
    <w:rsid w:val="009C3128"/>
    <w:rsid w:val="00A04A9A"/>
    <w:rsid w:val="00A95C6D"/>
    <w:rsid w:val="00AB419B"/>
    <w:rsid w:val="00B10CCE"/>
    <w:rsid w:val="00BB4354"/>
    <w:rsid w:val="00C07406"/>
    <w:rsid w:val="00CE1934"/>
    <w:rsid w:val="00D45A59"/>
    <w:rsid w:val="00D569E8"/>
    <w:rsid w:val="00DA4851"/>
    <w:rsid w:val="00DE3513"/>
    <w:rsid w:val="00F17ECE"/>
    <w:rsid w:val="00F94E2A"/>
    <w:rsid w:val="00FA6717"/>
    <w:rsid w:val="00FF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BA1F0"/>
  <w15:chartTrackingRefBased/>
  <w15:docId w15:val="{1404FF0B-E1DD-4054-9133-ABC64BD4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50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C70A5-019E-481D-A4D9-EBB2C50DC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2</Pages>
  <Words>240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47</cp:revision>
  <dcterms:created xsi:type="dcterms:W3CDTF">2021-12-13T10:46:00Z</dcterms:created>
  <dcterms:modified xsi:type="dcterms:W3CDTF">2022-07-10T13:04:00Z</dcterms:modified>
</cp:coreProperties>
</file>