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94BF8A" w14:textId="5B8EFEFC" w:rsidR="00902D2F" w:rsidRPr="00263ED0" w:rsidRDefault="00263ED0" w:rsidP="00B41C02">
      <w:pPr>
        <w:jc w:val="both"/>
        <w:rPr>
          <w:rFonts w:ascii="Tahoma" w:hAnsi="Tahoma" w:cs="Tahoma"/>
          <w:sz w:val="48"/>
          <w:szCs w:val="48"/>
          <w:u w:val="single"/>
        </w:rPr>
      </w:pPr>
      <w:r>
        <w:rPr>
          <w:rFonts w:ascii="Tahoma" w:hAnsi="Tahoma" w:cs="Tahoma"/>
        </w:rPr>
        <w:t xml:space="preserve">                                      </w:t>
      </w:r>
      <w:r w:rsidRPr="00263ED0">
        <w:rPr>
          <w:rFonts w:ascii="Tahoma" w:hAnsi="Tahoma" w:cs="Tahoma"/>
          <w:sz w:val="48"/>
          <w:szCs w:val="48"/>
          <w:u w:val="single"/>
        </w:rPr>
        <w:t xml:space="preserve">EUROSTOXX 50 </w:t>
      </w:r>
    </w:p>
    <w:p w14:paraId="6A0F7EC2" w14:textId="1956B176" w:rsidR="00902D2F" w:rsidRPr="00041E45" w:rsidRDefault="00902D2F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t>Week</w:t>
      </w:r>
    </w:p>
    <w:p w14:paraId="2862B446" w14:textId="652B88A1" w:rsidR="00902D2F" w:rsidRDefault="00743814" w:rsidP="00B41C0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52256639" wp14:editId="2A51ADCC">
            <wp:extent cx="5760720" cy="3409686"/>
            <wp:effectExtent l="0" t="0" r="0" b="635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4096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5DA04C" w14:textId="259EA112" w:rsidR="001705F4" w:rsidRDefault="00041E45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</w:t>
      </w:r>
      <w:r w:rsidR="006E32BB">
        <w:rPr>
          <w:rFonts w:ascii="Tahoma" w:hAnsi="Tahoma" w:cs="Tahoma"/>
        </w:rPr>
        <w:t>e</w:t>
      </w:r>
      <w:r w:rsidR="00FC6D16">
        <w:rPr>
          <w:rFonts w:ascii="Tahoma" w:hAnsi="Tahoma" w:cs="Tahoma"/>
        </w:rPr>
        <w:t xml:space="preserve"> rebond de l’indice cette semaine a permis de </w:t>
      </w:r>
      <w:r w:rsidR="003110F8">
        <w:rPr>
          <w:rFonts w:ascii="Tahoma" w:hAnsi="Tahoma" w:cs="Tahoma"/>
        </w:rPr>
        <w:t>bâtir</w:t>
      </w:r>
      <w:r w:rsidR="00FC6D16">
        <w:rPr>
          <w:rFonts w:ascii="Tahoma" w:hAnsi="Tahoma" w:cs="Tahoma"/>
        </w:rPr>
        <w:t xml:space="preserve"> un support en creux en pince sur le niveau de 3445. </w:t>
      </w:r>
    </w:p>
    <w:p w14:paraId="25F11F6C" w14:textId="0E0C15A9" w:rsidR="001C3EFF" w:rsidRDefault="00FC6D16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Ce support incitera les vendeurs à </w:t>
      </w:r>
      <w:r w:rsidR="003110F8">
        <w:rPr>
          <w:rFonts w:ascii="Tahoma" w:hAnsi="Tahoma" w:cs="Tahoma"/>
        </w:rPr>
        <w:t>protéger</w:t>
      </w:r>
      <w:r>
        <w:rPr>
          <w:rFonts w:ascii="Tahoma" w:hAnsi="Tahoma" w:cs="Tahoma"/>
        </w:rPr>
        <w:t xml:space="preserve"> leurs gains si la tendance baissière ne progresse plus. Mais </w:t>
      </w:r>
      <w:r w:rsidR="003110F8">
        <w:rPr>
          <w:rFonts w:ascii="Tahoma" w:hAnsi="Tahoma" w:cs="Tahoma"/>
        </w:rPr>
        <w:t>au-delà</w:t>
      </w:r>
      <w:r>
        <w:rPr>
          <w:rFonts w:ascii="Tahoma" w:hAnsi="Tahoma" w:cs="Tahoma"/>
        </w:rPr>
        <w:t xml:space="preserve"> de la théorie, on peut observer sur le graphique plusieurs </w:t>
      </w:r>
      <w:r w:rsidR="003110F8">
        <w:rPr>
          <w:rFonts w:ascii="Tahoma" w:hAnsi="Tahoma" w:cs="Tahoma"/>
        </w:rPr>
        <w:t>éléments</w:t>
      </w:r>
      <w:r>
        <w:rPr>
          <w:rFonts w:ascii="Tahoma" w:hAnsi="Tahoma" w:cs="Tahoma"/>
        </w:rPr>
        <w:t xml:space="preserve"> </w:t>
      </w:r>
      <w:r w:rsidR="0034749C">
        <w:rPr>
          <w:rFonts w:ascii="Tahoma" w:hAnsi="Tahoma" w:cs="Tahoma"/>
        </w:rPr>
        <w:t xml:space="preserve">qui devraient inciter les baissiers à revoir leurs positions. </w:t>
      </w:r>
    </w:p>
    <w:p w14:paraId="2F1B7522" w14:textId="41B2BC7B" w:rsidR="001C3EFF" w:rsidRDefault="0034749C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Tout d’abord la </w:t>
      </w:r>
      <w:r w:rsidR="003110F8">
        <w:rPr>
          <w:rFonts w:ascii="Tahoma" w:hAnsi="Tahoma" w:cs="Tahoma"/>
        </w:rPr>
        <w:t>différence</w:t>
      </w:r>
      <w:r>
        <w:rPr>
          <w:rFonts w:ascii="Tahoma" w:hAnsi="Tahoma" w:cs="Tahoma"/>
        </w:rPr>
        <w:t xml:space="preserve"> entre la </w:t>
      </w:r>
      <w:r w:rsidR="003110F8">
        <w:rPr>
          <w:rFonts w:ascii="Tahoma" w:hAnsi="Tahoma" w:cs="Tahoma"/>
        </w:rPr>
        <w:t>clôture</w:t>
      </w:r>
      <w:r>
        <w:rPr>
          <w:rFonts w:ascii="Tahoma" w:hAnsi="Tahoma" w:cs="Tahoma"/>
        </w:rPr>
        <w:t xml:space="preserve"> </w:t>
      </w:r>
      <w:r w:rsidR="001C3EFF">
        <w:rPr>
          <w:rFonts w:ascii="Tahoma" w:hAnsi="Tahoma" w:cs="Tahoma"/>
        </w:rPr>
        <w:t xml:space="preserve">de la semaine dernière </w:t>
      </w:r>
      <w:r>
        <w:rPr>
          <w:rFonts w:ascii="Tahoma" w:hAnsi="Tahoma" w:cs="Tahoma"/>
        </w:rPr>
        <w:t xml:space="preserve">et l’ouverture </w:t>
      </w:r>
      <w:r w:rsidR="001C3EFF">
        <w:rPr>
          <w:rFonts w:ascii="Tahoma" w:hAnsi="Tahoma" w:cs="Tahoma"/>
        </w:rPr>
        <w:t>de cette semaine</w:t>
      </w:r>
      <w:r>
        <w:rPr>
          <w:rFonts w:ascii="Tahoma" w:hAnsi="Tahoma" w:cs="Tahoma"/>
        </w:rPr>
        <w:t xml:space="preserve">. Les prix ont </w:t>
      </w:r>
      <w:r w:rsidR="003110F8">
        <w:rPr>
          <w:rFonts w:ascii="Tahoma" w:hAnsi="Tahoma" w:cs="Tahoma"/>
        </w:rPr>
        <w:t>clôturé</w:t>
      </w:r>
      <w:r>
        <w:rPr>
          <w:rFonts w:ascii="Tahoma" w:hAnsi="Tahoma" w:cs="Tahoma"/>
        </w:rPr>
        <w:t xml:space="preserve"> sur 3544 </w:t>
      </w:r>
      <w:r w:rsidR="001C3EFF">
        <w:rPr>
          <w:rFonts w:ascii="Tahoma" w:hAnsi="Tahoma" w:cs="Tahoma"/>
        </w:rPr>
        <w:t>en T-1</w:t>
      </w:r>
      <w:r>
        <w:rPr>
          <w:rFonts w:ascii="Tahoma" w:hAnsi="Tahoma" w:cs="Tahoma"/>
        </w:rPr>
        <w:t xml:space="preserve"> pour ouvrir sur 3460</w:t>
      </w:r>
      <w:r w:rsidR="001C3EFF">
        <w:rPr>
          <w:rFonts w:ascii="Tahoma" w:hAnsi="Tahoma" w:cs="Tahoma"/>
        </w:rPr>
        <w:t xml:space="preserve"> en T0</w:t>
      </w:r>
      <w:r>
        <w:rPr>
          <w:rFonts w:ascii="Tahoma" w:hAnsi="Tahoma" w:cs="Tahoma"/>
        </w:rPr>
        <w:t xml:space="preserve">. Une conviction relativement forte a été </w:t>
      </w:r>
      <w:r w:rsidR="003110F8">
        <w:rPr>
          <w:rFonts w:ascii="Tahoma" w:hAnsi="Tahoma" w:cs="Tahoma"/>
        </w:rPr>
        <w:t>nécessaire</w:t>
      </w:r>
      <w:r>
        <w:rPr>
          <w:rFonts w:ascii="Tahoma" w:hAnsi="Tahoma" w:cs="Tahoma"/>
        </w:rPr>
        <w:t xml:space="preserve"> pour ramener l’indice sur les niveaux de 3570 et cela n’est pas fait pour rassurer les vendeurs. </w:t>
      </w:r>
    </w:p>
    <w:p w14:paraId="1E7E74F6" w14:textId="2824587A" w:rsidR="00FC6D16" w:rsidRDefault="0034749C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Ensuite, </w:t>
      </w:r>
      <w:r w:rsidR="001C3EFF">
        <w:rPr>
          <w:rFonts w:ascii="Tahoma" w:hAnsi="Tahoma" w:cs="Tahoma"/>
        </w:rPr>
        <w:t>le rebond de cette semaine</w:t>
      </w:r>
      <w:r w:rsidR="00922AC9">
        <w:rPr>
          <w:rFonts w:ascii="Tahoma" w:hAnsi="Tahoma" w:cs="Tahoma"/>
        </w:rPr>
        <w:t xml:space="preserve"> a</w:t>
      </w:r>
      <w:r w:rsidR="001C3EFF">
        <w:rPr>
          <w:rFonts w:ascii="Tahoma" w:hAnsi="Tahoma" w:cs="Tahoma"/>
        </w:rPr>
        <w:t xml:space="preserve"> montr</w:t>
      </w:r>
      <w:r w:rsidR="00922AC9">
        <w:rPr>
          <w:rFonts w:ascii="Tahoma" w:hAnsi="Tahoma" w:cs="Tahoma"/>
        </w:rPr>
        <w:t>é</w:t>
      </w:r>
      <w:r w:rsidR="001C3EFF">
        <w:rPr>
          <w:rFonts w:ascii="Tahoma" w:hAnsi="Tahoma" w:cs="Tahoma"/>
        </w:rPr>
        <w:t xml:space="preserve"> que la zone d’achat définie par </w:t>
      </w:r>
      <w:r>
        <w:rPr>
          <w:rFonts w:ascii="Tahoma" w:hAnsi="Tahoma" w:cs="Tahoma"/>
        </w:rPr>
        <w:t xml:space="preserve">la mèche basse de la chandelle </w:t>
      </w:r>
      <w:r w:rsidR="001C3EFF">
        <w:rPr>
          <w:rFonts w:ascii="Tahoma" w:hAnsi="Tahoma" w:cs="Tahoma"/>
        </w:rPr>
        <w:t>précédente</w:t>
      </w:r>
      <w:r>
        <w:rPr>
          <w:rFonts w:ascii="Tahoma" w:hAnsi="Tahoma" w:cs="Tahoma"/>
        </w:rPr>
        <w:t xml:space="preserve"> </w:t>
      </w:r>
      <w:r w:rsidR="001C3EFF">
        <w:rPr>
          <w:rFonts w:ascii="Tahoma" w:hAnsi="Tahoma" w:cs="Tahoma"/>
        </w:rPr>
        <w:t xml:space="preserve">(entre 3448 et 3544) </w:t>
      </w:r>
      <w:r w:rsidR="00922AC9">
        <w:rPr>
          <w:rFonts w:ascii="Tahoma" w:hAnsi="Tahoma" w:cs="Tahoma"/>
        </w:rPr>
        <w:t>a attiré une nouvelle fois des acheteurs</w:t>
      </w:r>
      <w:r w:rsidR="001C3EFF">
        <w:rPr>
          <w:rFonts w:ascii="Tahoma" w:hAnsi="Tahoma" w:cs="Tahoma"/>
        </w:rPr>
        <w:t>.</w:t>
      </w:r>
    </w:p>
    <w:p w14:paraId="65B16AE1" w14:textId="5E27B6C8" w:rsidR="00583BC8" w:rsidRDefault="001C3EFF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Et pour finir, </w:t>
      </w:r>
      <w:r w:rsidR="002D31CF">
        <w:rPr>
          <w:rFonts w:ascii="Tahoma" w:hAnsi="Tahoma" w:cs="Tahoma"/>
        </w:rPr>
        <w:t xml:space="preserve">tout cela se passe </w:t>
      </w:r>
      <w:r w:rsidR="003110F8">
        <w:rPr>
          <w:rFonts w:ascii="Tahoma" w:hAnsi="Tahoma" w:cs="Tahoma"/>
        </w:rPr>
        <w:t>légèrement</w:t>
      </w:r>
      <w:r w:rsidR="002D31CF">
        <w:rPr>
          <w:rFonts w:ascii="Tahoma" w:hAnsi="Tahoma" w:cs="Tahoma"/>
        </w:rPr>
        <w:t xml:space="preserve"> </w:t>
      </w:r>
      <w:r w:rsidR="003110F8">
        <w:rPr>
          <w:rFonts w:ascii="Tahoma" w:hAnsi="Tahoma" w:cs="Tahoma"/>
        </w:rPr>
        <w:t>au-dessus</w:t>
      </w:r>
      <w:r w:rsidR="002D31CF">
        <w:rPr>
          <w:rFonts w:ascii="Tahoma" w:hAnsi="Tahoma" w:cs="Tahoma"/>
        </w:rPr>
        <w:t xml:space="preserve"> de la zone support de long terme définie sur 3400</w:t>
      </w:r>
      <w:r w:rsidR="00922AC9">
        <w:rPr>
          <w:rFonts w:ascii="Tahoma" w:hAnsi="Tahoma" w:cs="Tahoma"/>
        </w:rPr>
        <w:t xml:space="preserve"> (voir l’analyse mensuelle).</w:t>
      </w:r>
    </w:p>
    <w:p w14:paraId="67B8B186" w14:textId="349BFD9C" w:rsidR="00467005" w:rsidRDefault="00866F0F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Pour autant, avant d’envisager la hausse sur cette unité de temps, le marché devra s’affranchir de résistances majeures concrétisé</w:t>
      </w:r>
      <w:r w:rsidR="00922AC9">
        <w:rPr>
          <w:rFonts w:ascii="Tahoma" w:hAnsi="Tahoma" w:cs="Tahoma"/>
        </w:rPr>
        <w:t>e</w:t>
      </w:r>
      <w:r>
        <w:rPr>
          <w:rFonts w:ascii="Tahoma" w:hAnsi="Tahoma" w:cs="Tahoma"/>
        </w:rPr>
        <w:t>s par des plats, la KS sur 3690 et la SSB future sur 3901.</w:t>
      </w:r>
    </w:p>
    <w:p w14:paraId="10BB9766" w14:textId="77777777" w:rsidR="00723F77" w:rsidRDefault="00723F77" w:rsidP="00041E45">
      <w:pPr>
        <w:jc w:val="both"/>
        <w:rPr>
          <w:rFonts w:ascii="Tahoma" w:hAnsi="Tahoma" w:cs="Tahoma"/>
        </w:rPr>
      </w:pPr>
    </w:p>
    <w:p w14:paraId="655E9AC0" w14:textId="6B61DE74" w:rsidR="00723F77" w:rsidRDefault="00835AC6" w:rsidP="00041E45">
      <w:pPr>
        <w:jc w:val="both"/>
        <w:rPr>
          <w:rFonts w:ascii="Tahoma" w:hAnsi="Tahoma" w:cs="Tahoma"/>
        </w:rPr>
      </w:pPr>
      <w:r w:rsidRPr="00835AC6">
        <w:rPr>
          <w:rFonts w:ascii="Tahoma" w:hAnsi="Tahoma" w:cs="Tahoma"/>
          <w:u w:val="single"/>
        </w:rPr>
        <w:t>CONCLUSION</w:t>
      </w:r>
      <w:r>
        <w:rPr>
          <w:rFonts w:ascii="Tahoma" w:hAnsi="Tahoma" w:cs="Tahoma"/>
        </w:rPr>
        <w:t> :</w:t>
      </w:r>
      <w:r w:rsidR="008F4F21">
        <w:rPr>
          <w:rFonts w:ascii="Tahoma" w:hAnsi="Tahoma" w:cs="Tahoma"/>
        </w:rPr>
        <w:t xml:space="preserve"> Hausse </w:t>
      </w:r>
      <w:r w:rsidR="003110F8">
        <w:rPr>
          <w:rFonts w:ascii="Tahoma" w:hAnsi="Tahoma" w:cs="Tahoma"/>
        </w:rPr>
        <w:t>au-dessus</w:t>
      </w:r>
      <w:r w:rsidR="008F4F21">
        <w:rPr>
          <w:rFonts w:ascii="Tahoma" w:hAnsi="Tahoma" w:cs="Tahoma"/>
        </w:rPr>
        <w:t xml:space="preserve"> de 3</w:t>
      </w:r>
      <w:r w:rsidR="006E0629">
        <w:rPr>
          <w:rFonts w:ascii="Tahoma" w:hAnsi="Tahoma" w:cs="Tahoma"/>
        </w:rPr>
        <w:t>445.</w:t>
      </w:r>
    </w:p>
    <w:p w14:paraId="7ECBFD62" w14:textId="77777777" w:rsidR="00723F77" w:rsidRDefault="00723F77" w:rsidP="00041E45">
      <w:pPr>
        <w:jc w:val="both"/>
        <w:rPr>
          <w:rFonts w:ascii="Tahoma" w:hAnsi="Tahoma" w:cs="Tahoma"/>
        </w:rPr>
      </w:pPr>
    </w:p>
    <w:p w14:paraId="22FFB91E" w14:textId="77777777" w:rsidR="00723F77" w:rsidRPr="00723F77" w:rsidRDefault="00467005" w:rsidP="00723F77">
      <w:pPr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>
        <w:rPr>
          <w:rFonts w:ascii="Tahoma" w:hAnsi="Tahoma" w:cs="Tahoma"/>
        </w:rPr>
        <w:t xml:space="preserve"> </w:t>
      </w:r>
      <w:r w:rsidR="00723F77" w:rsidRPr="00723F77">
        <w:rPr>
          <w:rFonts w:ascii="Arial" w:eastAsia="Calibri" w:hAnsi="Arial" w:cs="Arial"/>
          <w:b/>
          <w:i/>
          <w:color w:val="993366"/>
          <w:sz w:val="24"/>
          <w:szCs w:val="24"/>
          <w:lang w:eastAsia="fr-FR"/>
        </w:rPr>
        <w:t>TS (mauve)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 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sur les 9 dernières périodes</w:t>
      </w:r>
    </w:p>
    <w:p w14:paraId="476D8B5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lastRenderedPageBreak/>
        <w:t xml:space="preserve">                                   2  </w:t>
      </w:r>
    </w:p>
    <w:p w14:paraId="5087617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4B322C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008000"/>
          <w:sz w:val="24"/>
          <w:szCs w:val="24"/>
          <w:lang w:eastAsia="fr-FR"/>
        </w:rPr>
        <w:t>KS (vert)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sur les 26 dernières périodes</w:t>
      </w:r>
    </w:p>
    <w:p w14:paraId="1749A1C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7ED1253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FF6600"/>
          <w:sz w:val="24"/>
          <w:szCs w:val="24"/>
          <w:lang w:eastAsia="fr-FR"/>
        </w:rPr>
        <w:t>LS (orange)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clôture                                           décalée de 26 périodes en arrière</w:t>
      </w:r>
    </w:p>
    <w:p w14:paraId="388C9BF9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5486A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SSA (bordure du nuage) =  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TS + KS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projetée 26 périodes en avant</w:t>
      </w:r>
    </w:p>
    <w:p w14:paraId="463A431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2</w:t>
      </w:r>
    </w:p>
    <w:p w14:paraId="442D7A8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FC2D32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SSB (bordure opposée du nuage)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sur les 52 dernières </w:t>
      </w:r>
    </w:p>
    <w:p w14:paraId="102B62E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                       2</w:t>
      </w:r>
    </w:p>
    <w:p w14:paraId="6B7DE25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760830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périodes, projetées 26 périodes en avant</w:t>
      </w:r>
    </w:p>
    <w:p w14:paraId="2C8EE37B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B9B3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F37BD65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Unités de temps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 : </w:t>
      </w:r>
    </w:p>
    <w:p w14:paraId="4869BE0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BAC255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W: weekly</w:t>
      </w:r>
    </w:p>
    <w:p w14:paraId="3620DAF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57DDCB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D: daily</w:t>
      </w:r>
    </w:p>
    <w:p w14:paraId="6889839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8B192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H4: base 4 heures  </w:t>
      </w:r>
    </w:p>
    <w:p w14:paraId="395064A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C31335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H1 : base horaire</w:t>
      </w:r>
    </w:p>
    <w:p w14:paraId="668BECB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1062831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30M : base 30 minutes</w:t>
      </w:r>
    </w:p>
    <w:p w14:paraId="04409A4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03B719" w14:textId="3D6A3070" w:rsidR="00467005" w:rsidRPr="00467005" w:rsidRDefault="00467005" w:rsidP="00041E45">
      <w:pPr>
        <w:jc w:val="both"/>
        <w:rPr>
          <w:rFonts w:ascii="Tahoma" w:hAnsi="Tahoma" w:cs="Tahoma"/>
        </w:rPr>
      </w:pPr>
    </w:p>
    <w:sectPr w:rsidR="00467005" w:rsidRPr="004670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AB8"/>
    <w:rsid w:val="0002580A"/>
    <w:rsid w:val="00041E45"/>
    <w:rsid w:val="000524C5"/>
    <w:rsid w:val="000556C3"/>
    <w:rsid w:val="000833FB"/>
    <w:rsid w:val="00092058"/>
    <w:rsid w:val="000B7DFC"/>
    <w:rsid w:val="000D4ED3"/>
    <w:rsid w:val="001018AD"/>
    <w:rsid w:val="00105B4E"/>
    <w:rsid w:val="00134AFA"/>
    <w:rsid w:val="0014687D"/>
    <w:rsid w:val="0015581D"/>
    <w:rsid w:val="00163C46"/>
    <w:rsid w:val="001705F4"/>
    <w:rsid w:val="00190995"/>
    <w:rsid w:val="001C3EFF"/>
    <w:rsid w:val="001D474B"/>
    <w:rsid w:val="001F650A"/>
    <w:rsid w:val="002003AD"/>
    <w:rsid w:val="002421FE"/>
    <w:rsid w:val="00262E25"/>
    <w:rsid w:val="00263ED0"/>
    <w:rsid w:val="002A1F8E"/>
    <w:rsid w:val="002B5CB1"/>
    <w:rsid w:val="002C0A31"/>
    <w:rsid w:val="002D31CF"/>
    <w:rsid w:val="002F54B0"/>
    <w:rsid w:val="0030643B"/>
    <w:rsid w:val="003110F8"/>
    <w:rsid w:val="00337611"/>
    <w:rsid w:val="00340FD9"/>
    <w:rsid w:val="0034749C"/>
    <w:rsid w:val="00352DD9"/>
    <w:rsid w:val="0040171B"/>
    <w:rsid w:val="00467005"/>
    <w:rsid w:val="004A5154"/>
    <w:rsid w:val="00531928"/>
    <w:rsid w:val="005440A4"/>
    <w:rsid w:val="00546A5A"/>
    <w:rsid w:val="00566580"/>
    <w:rsid w:val="00567AF3"/>
    <w:rsid w:val="00583BC8"/>
    <w:rsid w:val="00654380"/>
    <w:rsid w:val="006E0629"/>
    <w:rsid w:val="006E32BB"/>
    <w:rsid w:val="00723F77"/>
    <w:rsid w:val="00743814"/>
    <w:rsid w:val="00744696"/>
    <w:rsid w:val="00772067"/>
    <w:rsid w:val="0077545D"/>
    <w:rsid w:val="007A0E6C"/>
    <w:rsid w:val="007B661D"/>
    <w:rsid w:val="007D19FF"/>
    <w:rsid w:val="007D2085"/>
    <w:rsid w:val="0083454A"/>
    <w:rsid w:val="00835AC6"/>
    <w:rsid w:val="00837B38"/>
    <w:rsid w:val="00866F0F"/>
    <w:rsid w:val="00896554"/>
    <w:rsid w:val="008A7407"/>
    <w:rsid w:val="008F10C2"/>
    <w:rsid w:val="008F4F21"/>
    <w:rsid w:val="00902D2F"/>
    <w:rsid w:val="00922AC9"/>
    <w:rsid w:val="00961FDF"/>
    <w:rsid w:val="00983B7D"/>
    <w:rsid w:val="009A37C2"/>
    <w:rsid w:val="009F3AB8"/>
    <w:rsid w:val="00A11606"/>
    <w:rsid w:val="00A6401C"/>
    <w:rsid w:val="00A81AB7"/>
    <w:rsid w:val="00AE7F3B"/>
    <w:rsid w:val="00B34260"/>
    <w:rsid w:val="00B41C02"/>
    <w:rsid w:val="00B50E38"/>
    <w:rsid w:val="00B554B8"/>
    <w:rsid w:val="00B64EE0"/>
    <w:rsid w:val="00BB0E32"/>
    <w:rsid w:val="00BB6D9D"/>
    <w:rsid w:val="00BC77A5"/>
    <w:rsid w:val="00BD3FC1"/>
    <w:rsid w:val="00C17ED7"/>
    <w:rsid w:val="00C41F15"/>
    <w:rsid w:val="00C70171"/>
    <w:rsid w:val="00C70A68"/>
    <w:rsid w:val="00C82E98"/>
    <w:rsid w:val="00CC7C21"/>
    <w:rsid w:val="00CE0886"/>
    <w:rsid w:val="00CF2516"/>
    <w:rsid w:val="00CF6D63"/>
    <w:rsid w:val="00D23B28"/>
    <w:rsid w:val="00D46C8D"/>
    <w:rsid w:val="00DE5444"/>
    <w:rsid w:val="00DF072F"/>
    <w:rsid w:val="00E32014"/>
    <w:rsid w:val="00EB58BA"/>
    <w:rsid w:val="00F04A6E"/>
    <w:rsid w:val="00F04DEF"/>
    <w:rsid w:val="00F31070"/>
    <w:rsid w:val="00F53F10"/>
    <w:rsid w:val="00F636F8"/>
    <w:rsid w:val="00FA2C8E"/>
    <w:rsid w:val="00FC1860"/>
    <w:rsid w:val="00FC6D16"/>
    <w:rsid w:val="00FC7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5EB49"/>
  <w15:chartTrackingRefBased/>
  <w15:docId w15:val="{8D958F43-A15C-4150-B920-BE8741EFE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1309F-AB94-4C63-8650-B80168C5A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546</TotalTime>
  <Pages>2</Pages>
  <Words>316</Words>
  <Characters>1742</Characters>
  <Application>Microsoft Office Word</Application>
  <DocSecurity>0</DocSecurity>
  <Lines>14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79</cp:revision>
  <dcterms:created xsi:type="dcterms:W3CDTF">2021-11-25T09:44:00Z</dcterms:created>
  <dcterms:modified xsi:type="dcterms:W3CDTF">2022-09-10T13:14:00Z</dcterms:modified>
</cp:coreProperties>
</file>