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0B03E349"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217087">
        <w:rPr>
          <w:sz w:val="48"/>
          <w:szCs w:val="48"/>
          <w:u w:val="single"/>
        </w:rPr>
        <w:t>e</w:t>
      </w:r>
      <w:r w:rsidR="00D569E8" w:rsidRPr="00826F39">
        <w:rPr>
          <w:sz w:val="48"/>
          <w:szCs w:val="48"/>
          <w:u w:val="single"/>
        </w:rPr>
        <w:t xml:space="preserve">um     </w:t>
      </w:r>
    </w:p>
    <w:p w14:paraId="31B1B352" w14:textId="5ACFCB59" w:rsidR="0005563F" w:rsidRDefault="00F41482">
      <w:pPr>
        <w:rPr>
          <w:sz w:val="32"/>
          <w:szCs w:val="32"/>
          <w:u w:val="single"/>
        </w:rPr>
      </w:pPr>
      <w:r>
        <w:rPr>
          <w:sz w:val="32"/>
          <w:szCs w:val="32"/>
          <w:u w:val="single"/>
        </w:rPr>
        <w:t>Month</w:t>
      </w:r>
    </w:p>
    <w:p w14:paraId="70B8FF6E" w14:textId="00A4F678" w:rsidR="00F41482" w:rsidRDefault="003E51CE">
      <w:pPr>
        <w:rPr>
          <w:sz w:val="32"/>
          <w:szCs w:val="32"/>
          <w:u w:val="single"/>
        </w:rPr>
      </w:pPr>
      <w:r>
        <w:rPr>
          <w:noProof/>
        </w:rPr>
        <w:drawing>
          <wp:inline distT="0" distB="0" distL="0" distR="0" wp14:anchorId="5390087F" wp14:editId="2FCB4467">
            <wp:extent cx="5760720" cy="3390804"/>
            <wp:effectExtent l="0" t="0" r="0" b="63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390804"/>
                    </a:xfrm>
                    <a:prstGeom prst="rect">
                      <a:avLst/>
                    </a:prstGeom>
                    <a:noFill/>
                    <a:ln>
                      <a:noFill/>
                    </a:ln>
                  </pic:spPr>
                </pic:pic>
              </a:graphicData>
            </a:graphic>
          </wp:inline>
        </w:drawing>
      </w:r>
    </w:p>
    <w:p w14:paraId="793D23D1" w14:textId="34D766E0" w:rsidR="00D569E8" w:rsidRDefault="00D569E8">
      <w:pPr>
        <w:rPr>
          <w:sz w:val="32"/>
          <w:szCs w:val="32"/>
          <w:u w:val="single"/>
        </w:rPr>
      </w:pPr>
    </w:p>
    <w:p w14:paraId="7E3AB3CD" w14:textId="25875B50" w:rsidR="00D569E8" w:rsidRDefault="00D569E8">
      <w:pPr>
        <w:rPr>
          <w:sz w:val="32"/>
          <w:szCs w:val="32"/>
          <w:u w:val="single"/>
        </w:rPr>
      </w:pPr>
    </w:p>
    <w:p w14:paraId="117559AA" w14:textId="6CE8A46E" w:rsidR="00572015" w:rsidRDefault="004475E1" w:rsidP="00826F39">
      <w:pPr>
        <w:jc w:val="both"/>
        <w:rPr>
          <w:rFonts w:ascii="Tahoma" w:hAnsi="Tahoma" w:cs="Tahoma"/>
        </w:rPr>
      </w:pPr>
      <w:r>
        <w:rPr>
          <w:rFonts w:ascii="Tahoma" w:hAnsi="Tahoma" w:cs="Tahoma"/>
        </w:rPr>
        <w:t>L</w:t>
      </w:r>
      <w:r w:rsidR="00613F47">
        <w:rPr>
          <w:rFonts w:ascii="Tahoma" w:hAnsi="Tahoma" w:cs="Tahoma"/>
        </w:rPr>
        <w:t>es deux dernières chandelles mensuelles reviennent progressivement sur la bougie haussière du mois de juillet. Le franchissement de son point médian de 1333, impliquera une remise en question partielle de la hausse de juillet, ce qui avantagera une poursuite de la baisse en direction de sa base située sur 1019.</w:t>
      </w:r>
    </w:p>
    <w:p w14:paraId="33F90E98" w14:textId="7A96E6F2" w:rsidR="00613F47" w:rsidRDefault="00613F47" w:rsidP="00826F39">
      <w:pPr>
        <w:jc w:val="both"/>
        <w:rPr>
          <w:rFonts w:ascii="Tahoma" w:hAnsi="Tahoma" w:cs="Tahoma"/>
        </w:rPr>
      </w:pPr>
      <w:r>
        <w:rPr>
          <w:rFonts w:ascii="Tahoma" w:hAnsi="Tahoma" w:cs="Tahoma"/>
        </w:rPr>
        <w:t>Les mèches hautes des deux derniers chandeliers montrent que les tentatives de hausse ont échoué et que la pression vendeuse reste dominante. Cette observation milite pour une poursuite de la baisse en cassure de 1333</w:t>
      </w:r>
      <w:r w:rsidR="00CB1F01">
        <w:rPr>
          <w:rFonts w:ascii="Tahoma" w:hAnsi="Tahoma" w:cs="Tahoma"/>
        </w:rPr>
        <w:t xml:space="preserve"> avec pour cible le bas récent de 840 et en rupture le plat de SSB de 595.</w:t>
      </w:r>
    </w:p>
    <w:p w14:paraId="711C3EDE" w14:textId="319D2609" w:rsidR="00572015" w:rsidRDefault="00572015" w:rsidP="00960940">
      <w:pPr>
        <w:jc w:val="both"/>
        <w:rPr>
          <w:rFonts w:ascii="Tahoma" w:hAnsi="Tahoma" w:cs="Tahoma"/>
        </w:rPr>
      </w:pPr>
    </w:p>
    <w:p w14:paraId="179C770F" w14:textId="77777777" w:rsidR="00F41482" w:rsidRDefault="00F41482" w:rsidP="00F41482">
      <w:pPr>
        <w:rPr>
          <w:sz w:val="32"/>
          <w:szCs w:val="32"/>
          <w:u w:val="single"/>
        </w:rPr>
      </w:pPr>
      <w:r>
        <w:rPr>
          <w:sz w:val="32"/>
          <w:szCs w:val="32"/>
          <w:u w:val="single"/>
        </w:rPr>
        <w:t>Week</w:t>
      </w:r>
    </w:p>
    <w:p w14:paraId="689032A5" w14:textId="2A33B284" w:rsidR="00F41482" w:rsidRDefault="003E51CE" w:rsidP="00F41482">
      <w:pPr>
        <w:rPr>
          <w:sz w:val="32"/>
          <w:szCs w:val="32"/>
          <w:u w:val="single"/>
        </w:rPr>
      </w:pPr>
      <w:r>
        <w:rPr>
          <w:noProof/>
        </w:rPr>
        <w:lastRenderedPageBreak/>
        <w:drawing>
          <wp:inline distT="0" distB="0" distL="0" distR="0" wp14:anchorId="1C5441D4" wp14:editId="70E87161">
            <wp:extent cx="5760720" cy="3390804"/>
            <wp:effectExtent l="0" t="0" r="0" b="63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390804"/>
                    </a:xfrm>
                    <a:prstGeom prst="rect">
                      <a:avLst/>
                    </a:prstGeom>
                    <a:noFill/>
                    <a:ln>
                      <a:noFill/>
                    </a:ln>
                  </pic:spPr>
                </pic:pic>
              </a:graphicData>
            </a:graphic>
          </wp:inline>
        </w:drawing>
      </w:r>
    </w:p>
    <w:p w14:paraId="6917A411" w14:textId="10FDC4A4" w:rsidR="00F41482" w:rsidRDefault="00BA1733" w:rsidP="00F41482">
      <w:pPr>
        <w:jc w:val="both"/>
        <w:rPr>
          <w:rFonts w:ascii="Tahoma" w:hAnsi="Tahoma" w:cs="Tahoma"/>
        </w:rPr>
      </w:pPr>
      <w:r>
        <w:rPr>
          <w:rFonts w:ascii="Tahoma" w:hAnsi="Tahoma" w:cs="Tahoma"/>
        </w:rPr>
        <w:t xml:space="preserve">J’ai parlé la semaine dernière d’une certaine neutralité entre 1468 et 1240. Je pense m’être mal exprimé sur cette notion de neutralité. Le message que je voulais faire </w:t>
      </w:r>
      <w:r w:rsidR="00E50831">
        <w:rPr>
          <w:rFonts w:ascii="Tahoma" w:hAnsi="Tahoma" w:cs="Tahoma"/>
        </w:rPr>
        <w:t>passer</w:t>
      </w:r>
      <w:r>
        <w:rPr>
          <w:rFonts w:ascii="Tahoma" w:hAnsi="Tahoma" w:cs="Tahoma"/>
        </w:rPr>
        <w:t xml:space="preserve"> ne concernait pas des points techniques mais plutôt un sentiment. </w:t>
      </w:r>
      <w:r w:rsidR="005A64AE">
        <w:rPr>
          <w:rFonts w:ascii="Tahoma" w:hAnsi="Tahoma" w:cs="Tahoma"/>
        </w:rPr>
        <w:t>En effet la chandelle T-1 sans mèche haute et avec une mèche basse matérialisé</w:t>
      </w:r>
      <w:r w:rsidR="00E50831">
        <w:rPr>
          <w:rFonts w:ascii="Tahoma" w:hAnsi="Tahoma" w:cs="Tahoma"/>
        </w:rPr>
        <w:t>e</w:t>
      </w:r>
      <w:r w:rsidR="005A64AE">
        <w:rPr>
          <w:rFonts w:ascii="Tahoma" w:hAnsi="Tahoma" w:cs="Tahoma"/>
        </w:rPr>
        <w:t xml:space="preserve"> sur un point à 61.8% de retracement, donnait autant d’importance </w:t>
      </w:r>
      <w:r w:rsidR="00E50831">
        <w:rPr>
          <w:rFonts w:ascii="Tahoma" w:hAnsi="Tahoma" w:cs="Tahoma"/>
        </w:rPr>
        <w:t>au</w:t>
      </w:r>
      <w:r w:rsidR="005A64AE">
        <w:rPr>
          <w:rFonts w:ascii="Tahoma" w:hAnsi="Tahoma" w:cs="Tahoma"/>
        </w:rPr>
        <w:t xml:space="preserve"> point haut qu’</w:t>
      </w:r>
      <w:r w:rsidR="00E50831">
        <w:rPr>
          <w:rFonts w:ascii="Tahoma" w:hAnsi="Tahoma" w:cs="Tahoma"/>
        </w:rPr>
        <w:t>au</w:t>
      </w:r>
      <w:r w:rsidR="005A64AE">
        <w:rPr>
          <w:rFonts w:ascii="Tahoma" w:hAnsi="Tahoma" w:cs="Tahoma"/>
        </w:rPr>
        <w:t xml:space="preserve"> point bas. Dans ce cas, je voulais simplement dire que je ne pouvais me prononcer en favorisant la hausse</w:t>
      </w:r>
      <w:r w:rsidR="00E50831">
        <w:rPr>
          <w:rFonts w:ascii="Tahoma" w:hAnsi="Tahoma" w:cs="Tahoma"/>
        </w:rPr>
        <w:t xml:space="preserve"> ou</w:t>
      </w:r>
      <w:r w:rsidR="005A64AE">
        <w:rPr>
          <w:rFonts w:ascii="Tahoma" w:hAnsi="Tahoma" w:cs="Tahoma"/>
        </w:rPr>
        <w:t xml:space="preserve"> la baisse</w:t>
      </w:r>
      <w:r w:rsidR="00E50831">
        <w:rPr>
          <w:rFonts w:ascii="Tahoma" w:hAnsi="Tahoma" w:cs="Tahoma"/>
        </w:rPr>
        <w:t xml:space="preserve"> entre ces deux extrêmes.</w:t>
      </w:r>
    </w:p>
    <w:p w14:paraId="1C7A8D53" w14:textId="5E55EA44" w:rsidR="005A64AE" w:rsidRDefault="005A64AE" w:rsidP="00F41482">
      <w:pPr>
        <w:jc w:val="both"/>
        <w:rPr>
          <w:rFonts w:ascii="Tahoma" w:hAnsi="Tahoma" w:cs="Tahoma"/>
        </w:rPr>
      </w:pPr>
      <w:r>
        <w:rPr>
          <w:rFonts w:ascii="Tahoma" w:hAnsi="Tahoma" w:cs="Tahoma"/>
        </w:rPr>
        <w:t xml:space="preserve">Il semblerait que je ne sois pas le seul </w:t>
      </w:r>
      <w:r w:rsidR="00A13595">
        <w:rPr>
          <w:rFonts w:ascii="Tahoma" w:hAnsi="Tahoma" w:cs="Tahoma"/>
        </w:rPr>
        <w:t>à avoir été</w:t>
      </w:r>
      <w:r>
        <w:rPr>
          <w:rFonts w:ascii="Tahoma" w:hAnsi="Tahoma" w:cs="Tahoma"/>
        </w:rPr>
        <w:t xml:space="preserve"> indécis. Sur la semaine, les intervenants n’ont pas réussi à trancher et la dernière bougie n’a pas été capable de dépasser le haut de 1468 ou le bas de 1240.</w:t>
      </w:r>
    </w:p>
    <w:p w14:paraId="433A32E4" w14:textId="2ABF29E0" w:rsidR="00DA4851" w:rsidRDefault="00DA4851" w:rsidP="007F6E22">
      <w:pPr>
        <w:jc w:val="both"/>
        <w:rPr>
          <w:rFonts w:ascii="Tahoma" w:hAnsi="Tahoma" w:cs="Tahoma"/>
        </w:rPr>
      </w:pPr>
    </w:p>
    <w:p w14:paraId="6C5EE48F" w14:textId="77777777" w:rsidR="00342AFF" w:rsidRDefault="00342AFF" w:rsidP="007F6E22">
      <w:pPr>
        <w:jc w:val="both"/>
        <w:rPr>
          <w:rFonts w:ascii="Tahoma" w:hAnsi="Tahoma" w:cs="Tahoma"/>
        </w:rPr>
      </w:pPr>
    </w:p>
    <w:p w14:paraId="215A4EB5" w14:textId="45EF1486" w:rsidR="005E0F40" w:rsidRDefault="005E0F40" w:rsidP="005E0F40">
      <w:pPr>
        <w:jc w:val="both"/>
        <w:rPr>
          <w:rFonts w:ascii="Tahoma" w:hAnsi="Tahoma" w:cs="Tahoma"/>
        </w:rPr>
      </w:pPr>
      <w:r>
        <w:rPr>
          <w:rFonts w:ascii="Tahoma" w:hAnsi="Tahoma" w:cs="Tahoma"/>
          <w:u w:val="single"/>
        </w:rPr>
        <w:t>CONCLUSION</w:t>
      </w:r>
      <w:r>
        <w:rPr>
          <w:rFonts w:ascii="Tahoma" w:hAnsi="Tahoma" w:cs="Tahoma"/>
        </w:rPr>
        <w:t> :</w:t>
      </w:r>
      <w:r w:rsidR="00F97F2E">
        <w:rPr>
          <w:rFonts w:ascii="Tahoma" w:hAnsi="Tahoma" w:cs="Tahoma"/>
        </w:rPr>
        <w:t xml:space="preserve"> La baisse </w:t>
      </w:r>
      <w:r w:rsidR="00A13595">
        <w:rPr>
          <w:rFonts w:ascii="Tahoma" w:hAnsi="Tahoma" w:cs="Tahoma"/>
        </w:rPr>
        <w:t>sera</w:t>
      </w:r>
      <w:r w:rsidR="00F97F2E">
        <w:rPr>
          <w:rFonts w:ascii="Tahoma" w:hAnsi="Tahoma" w:cs="Tahoma"/>
        </w:rPr>
        <w:t xml:space="preserve"> avantagée sur le long terme qu’en rupture de 1333.</w:t>
      </w: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lastRenderedPageBreak/>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0904"/>
    <w:rsid w:val="00046E8B"/>
    <w:rsid w:val="0005563F"/>
    <w:rsid w:val="00092058"/>
    <w:rsid w:val="00110ADF"/>
    <w:rsid w:val="00113C92"/>
    <w:rsid w:val="00140A73"/>
    <w:rsid w:val="00217087"/>
    <w:rsid w:val="002244B9"/>
    <w:rsid w:val="00264400"/>
    <w:rsid w:val="002A5DC5"/>
    <w:rsid w:val="002B27CF"/>
    <w:rsid w:val="002C4CD0"/>
    <w:rsid w:val="002E7AF3"/>
    <w:rsid w:val="00306FDE"/>
    <w:rsid w:val="00342AFF"/>
    <w:rsid w:val="00394D2F"/>
    <w:rsid w:val="003D1D17"/>
    <w:rsid w:val="003E51CE"/>
    <w:rsid w:val="004475E1"/>
    <w:rsid w:val="00447D4B"/>
    <w:rsid w:val="005440A4"/>
    <w:rsid w:val="00563CB1"/>
    <w:rsid w:val="00572015"/>
    <w:rsid w:val="005A64AE"/>
    <w:rsid w:val="005E0F40"/>
    <w:rsid w:val="00613F47"/>
    <w:rsid w:val="00760FE2"/>
    <w:rsid w:val="007923BF"/>
    <w:rsid w:val="007F6E22"/>
    <w:rsid w:val="0081635D"/>
    <w:rsid w:val="00826F39"/>
    <w:rsid w:val="008567DE"/>
    <w:rsid w:val="008F21BD"/>
    <w:rsid w:val="008F230F"/>
    <w:rsid w:val="008F7E7D"/>
    <w:rsid w:val="0094194C"/>
    <w:rsid w:val="00960940"/>
    <w:rsid w:val="00967DAB"/>
    <w:rsid w:val="009B7066"/>
    <w:rsid w:val="00A04A9A"/>
    <w:rsid w:val="00A13595"/>
    <w:rsid w:val="00A95C6D"/>
    <w:rsid w:val="00BA1733"/>
    <w:rsid w:val="00BB4354"/>
    <w:rsid w:val="00C07406"/>
    <w:rsid w:val="00CB1F01"/>
    <w:rsid w:val="00D45A59"/>
    <w:rsid w:val="00D569E8"/>
    <w:rsid w:val="00DA4851"/>
    <w:rsid w:val="00DE3513"/>
    <w:rsid w:val="00E50831"/>
    <w:rsid w:val="00F17ECE"/>
    <w:rsid w:val="00F41482"/>
    <w:rsid w:val="00F94E2A"/>
    <w:rsid w:val="00F97F2E"/>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05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3</Pages>
  <Words>353</Words>
  <Characters>1945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50</cp:revision>
  <dcterms:created xsi:type="dcterms:W3CDTF">2021-12-13T10:46:00Z</dcterms:created>
  <dcterms:modified xsi:type="dcterms:W3CDTF">2022-10-02T09:59:00Z</dcterms:modified>
</cp:coreProperties>
</file>