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94BF8A" w14:textId="5B8EFEFC" w:rsidR="00902D2F" w:rsidRPr="00263ED0" w:rsidRDefault="00263ED0" w:rsidP="00B41C02">
      <w:pPr>
        <w:jc w:val="both"/>
        <w:rPr>
          <w:rFonts w:ascii="Tahoma" w:hAnsi="Tahoma" w:cs="Tahoma"/>
          <w:sz w:val="48"/>
          <w:szCs w:val="48"/>
          <w:u w:val="single"/>
        </w:rPr>
      </w:pPr>
      <w:r>
        <w:rPr>
          <w:rFonts w:ascii="Tahoma" w:hAnsi="Tahoma" w:cs="Tahoma"/>
        </w:rPr>
        <w:t xml:space="preserve">                                      </w:t>
      </w:r>
      <w:r w:rsidRPr="00263ED0">
        <w:rPr>
          <w:rFonts w:ascii="Tahoma" w:hAnsi="Tahoma" w:cs="Tahoma"/>
          <w:sz w:val="48"/>
          <w:szCs w:val="48"/>
          <w:u w:val="single"/>
        </w:rPr>
        <w:t xml:space="preserve">EUROSTOXX 50 </w:t>
      </w:r>
    </w:p>
    <w:p w14:paraId="6A0F7EC2" w14:textId="1956B176" w:rsidR="00902D2F" w:rsidRPr="00041E45" w:rsidRDefault="00902D2F" w:rsidP="00B41C02">
      <w:pPr>
        <w:jc w:val="both"/>
        <w:rPr>
          <w:rFonts w:ascii="Tahoma" w:hAnsi="Tahoma" w:cs="Tahoma"/>
          <w:sz w:val="32"/>
          <w:szCs w:val="32"/>
          <w:u w:val="single"/>
        </w:rPr>
      </w:pPr>
      <w:r w:rsidRPr="00041E45">
        <w:rPr>
          <w:rFonts w:ascii="Tahoma" w:hAnsi="Tahoma" w:cs="Tahoma"/>
          <w:sz w:val="32"/>
          <w:szCs w:val="32"/>
          <w:u w:val="single"/>
        </w:rPr>
        <w:t>Week</w:t>
      </w:r>
    </w:p>
    <w:p w14:paraId="2862B446" w14:textId="6663B07D" w:rsidR="00902D2F" w:rsidRDefault="00E54F20" w:rsidP="00B41C02">
      <w:pPr>
        <w:jc w:val="both"/>
        <w:rPr>
          <w:rFonts w:ascii="Tahoma" w:hAnsi="Tahoma" w:cs="Tahoma"/>
        </w:rPr>
      </w:pPr>
      <w:r>
        <w:rPr>
          <w:noProof/>
        </w:rPr>
        <w:drawing>
          <wp:inline distT="0" distB="0" distL="0" distR="0" wp14:anchorId="1976A279" wp14:editId="0CF99791">
            <wp:extent cx="5760691" cy="3634740"/>
            <wp:effectExtent l="0" t="0" r="0" b="381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71032" cy="3641265"/>
                    </a:xfrm>
                    <a:prstGeom prst="rect">
                      <a:avLst/>
                    </a:prstGeom>
                    <a:noFill/>
                    <a:ln>
                      <a:noFill/>
                    </a:ln>
                  </pic:spPr>
                </pic:pic>
              </a:graphicData>
            </a:graphic>
          </wp:inline>
        </w:drawing>
      </w:r>
    </w:p>
    <w:p w14:paraId="685822D0" w14:textId="77777777" w:rsidR="006E32BB" w:rsidRDefault="006E32BB" w:rsidP="00B41C02">
      <w:pPr>
        <w:jc w:val="both"/>
        <w:rPr>
          <w:rFonts w:ascii="Tahoma" w:hAnsi="Tahoma" w:cs="Tahoma"/>
        </w:rPr>
      </w:pPr>
    </w:p>
    <w:p w14:paraId="555DA04C" w14:textId="63C421C1" w:rsidR="001705F4" w:rsidRDefault="00BB6D9D" w:rsidP="00263ED0">
      <w:pPr>
        <w:jc w:val="both"/>
        <w:rPr>
          <w:rFonts w:ascii="Tahoma" w:hAnsi="Tahoma" w:cs="Tahoma"/>
        </w:rPr>
      </w:pPr>
      <w:r>
        <w:rPr>
          <w:rFonts w:ascii="Tahoma" w:hAnsi="Tahoma" w:cs="Tahoma"/>
        </w:rPr>
        <w:t xml:space="preserve"> </w:t>
      </w:r>
      <w:r w:rsidR="00924BBB">
        <w:rPr>
          <w:rFonts w:ascii="Tahoma" w:hAnsi="Tahoma" w:cs="Tahoma"/>
        </w:rPr>
        <w:t>Après trois semaines d’</w:t>
      </w:r>
      <w:r w:rsidR="00C860BC">
        <w:rPr>
          <w:rFonts w:ascii="Tahoma" w:hAnsi="Tahoma" w:cs="Tahoma"/>
        </w:rPr>
        <w:t>hésitation</w:t>
      </w:r>
      <w:r w:rsidR="00924BBB">
        <w:rPr>
          <w:rFonts w:ascii="Tahoma" w:hAnsi="Tahoma" w:cs="Tahoma"/>
        </w:rPr>
        <w:t>, l’Eurostoxx50 est enfin parvenu à tracer une chandelle blanche.</w:t>
      </w:r>
    </w:p>
    <w:p w14:paraId="1600EA31" w14:textId="556796B3" w:rsidR="00D3311C" w:rsidRDefault="00D3311C" w:rsidP="00263ED0">
      <w:pPr>
        <w:jc w:val="both"/>
        <w:rPr>
          <w:rFonts w:ascii="Tahoma" w:hAnsi="Tahoma" w:cs="Tahoma"/>
        </w:rPr>
      </w:pPr>
      <w:r>
        <w:rPr>
          <w:rFonts w:ascii="Tahoma" w:hAnsi="Tahoma" w:cs="Tahoma"/>
        </w:rPr>
        <w:t xml:space="preserve">La dynamique </w:t>
      </w:r>
      <w:r w:rsidR="00717C42">
        <w:rPr>
          <w:rFonts w:ascii="Tahoma" w:hAnsi="Tahoma" w:cs="Tahoma"/>
        </w:rPr>
        <w:t xml:space="preserve">des prix </w:t>
      </w:r>
      <w:r>
        <w:rPr>
          <w:rFonts w:ascii="Tahoma" w:hAnsi="Tahoma" w:cs="Tahoma"/>
        </w:rPr>
        <w:t xml:space="preserve">s’apparente à une structure de retournement appelée creux en tour. Elle favorise une poursuite de la hausse en direction </w:t>
      </w:r>
      <w:r w:rsidR="00C860BC">
        <w:rPr>
          <w:rFonts w:ascii="Tahoma" w:hAnsi="Tahoma" w:cs="Tahoma"/>
        </w:rPr>
        <w:t>des prochaines résistances</w:t>
      </w:r>
      <w:r>
        <w:rPr>
          <w:rFonts w:ascii="Tahoma" w:hAnsi="Tahoma" w:cs="Tahoma"/>
        </w:rPr>
        <w:t xml:space="preserve"> qui je dois l’avouer sont proches du niveau actuel des prix.</w:t>
      </w:r>
    </w:p>
    <w:p w14:paraId="02F60B4C" w14:textId="61EFE8EF" w:rsidR="00B93A91" w:rsidRDefault="00B93A91" w:rsidP="00263ED0">
      <w:pPr>
        <w:jc w:val="both"/>
        <w:rPr>
          <w:rFonts w:ascii="Tahoma" w:hAnsi="Tahoma" w:cs="Tahoma"/>
        </w:rPr>
      </w:pPr>
      <w:r>
        <w:rPr>
          <w:rFonts w:ascii="Tahoma" w:hAnsi="Tahoma" w:cs="Tahoma"/>
        </w:rPr>
        <w:t xml:space="preserve">Cette structure permet aussi de tracer une zone support qui reprend les bas récents de 3250. </w:t>
      </w:r>
      <w:r w:rsidR="00717C42">
        <w:rPr>
          <w:rFonts w:ascii="Tahoma" w:hAnsi="Tahoma" w:cs="Tahoma"/>
        </w:rPr>
        <w:t>Elle</w:t>
      </w:r>
      <w:r>
        <w:rPr>
          <w:rFonts w:ascii="Tahoma" w:hAnsi="Tahoma" w:cs="Tahoma"/>
        </w:rPr>
        <w:t xml:space="preserve"> nous permettra d’avantager le biais neutre à haussier tant que le marché évoluera </w:t>
      </w:r>
      <w:r w:rsidR="00C860BC">
        <w:rPr>
          <w:rFonts w:ascii="Tahoma" w:hAnsi="Tahoma" w:cs="Tahoma"/>
        </w:rPr>
        <w:t>au-dessus</w:t>
      </w:r>
      <w:r>
        <w:rPr>
          <w:rFonts w:ascii="Tahoma" w:hAnsi="Tahoma" w:cs="Tahoma"/>
        </w:rPr>
        <w:t xml:space="preserve"> de ce support.</w:t>
      </w:r>
    </w:p>
    <w:p w14:paraId="52DCC6D0" w14:textId="74DCCB93" w:rsidR="00B93A91" w:rsidRDefault="00D82BBA" w:rsidP="00263ED0">
      <w:pPr>
        <w:jc w:val="both"/>
        <w:rPr>
          <w:rFonts w:ascii="Tahoma" w:hAnsi="Tahoma" w:cs="Tahoma"/>
        </w:rPr>
      </w:pPr>
      <w:r>
        <w:rPr>
          <w:rFonts w:ascii="Tahoma" w:hAnsi="Tahoma" w:cs="Tahoma"/>
        </w:rPr>
        <w:t xml:space="preserve">Une </w:t>
      </w:r>
      <w:r w:rsidR="00C860BC">
        <w:rPr>
          <w:rFonts w:ascii="Tahoma" w:hAnsi="Tahoma" w:cs="Tahoma"/>
        </w:rPr>
        <w:t>série</w:t>
      </w:r>
      <w:r>
        <w:rPr>
          <w:rFonts w:ascii="Tahoma" w:hAnsi="Tahoma" w:cs="Tahoma"/>
        </w:rPr>
        <w:t xml:space="preserve"> de résistances devrait freiner la progression des prix, c’est pour cette raison que la consolidation </w:t>
      </w:r>
      <w:r w:rsidR="00C860BC">
        <w:rPr>
          <w:rFonts w:ascii="Tahoma" w:hAnsi="Tahoma" w:cs="Tahoma"/>
        </w:rPr>
        <w:t>au-dessus</w:t>
      </w:r>
      <w:r>
        <w:rPr>
          <w:rFonts w:ascii="Tahoma" w:hAnsi="Tahoma" w:cs="Tahoma"/>
        </w:rPr>
        <w:t xml:space="preserve"> de 3250 n’est pas exclue.</w:t>
      </w:r>
    </w:p>
    <w:p w14:paraId="00D4E08F" w14:textId="3EDC3C5F" w:rsidR="00D82BBA" w:rsidRDefault="00717C42" w:rsidP="00263ED0">
      <w:pPr>
        <w:jc w:val="both"/>
        <w:rPr>
          <w:rFonts w:ascii="Tahoma" w:hAnsi="Tahoma" w:cs="Tahoma"/>
        </w:rPr>
      </w:pPr>
      <w:r>
        <w:rPr>
          <w:rFonts w:ascii="Tahoma" w:hAnsi="Tahoma" w:cs="Tahoma"/>
        </w:rPr>
        <w:t>Du c</w:t>
      </w:r>
      <w:r w:rsidR="00D82BBA">
        <w:rPr>
          <w:rFonts w:ascii="Tahoma" w:hAnsi="Tahoma" w:cs="Tahoma"/>
        </w:rPr>
        <w:t>oté résistances, la K</w:t>
      </w:r>
      <w:r>
        <w:rPr>
          <w:rFonts w:ascii="Tahoma" w:hAnsi="Tahoma" w:cs="Tahoma"/>
        </w:rPr>
        <w:t>S</w:t>
      </w:r>
      <w:r w:rsidR="00D82BBA">
        <w:rPr>
          <w:rFonts w:ascii="Tahoma" w:hAnsi="Tahoma" w:cs="Tahoma"/>
        </w:rPr>
        <w:t xml:space="preserve"> s’aplatir</w:t>
      </w:r>
      <w:r>
        <w:rPr>
          <w:rFonts w:ascii="Tahoma" w:hAnsi="Tahoma" w:cs="Tahoma"/>
        </w:rPr>
        <w:t>a</w:t>
      </w:r>
      <w:r w:rsidR="00D82BBA">
        <w:rPr>
          <w:rFonts w:ascii="Tahoma" w:hAnsi="Tahoma" w:cs="Tahoma"/>
        </w:rPr>
        <w:t xml:space="preserve"> sur </w:t>
      </w:r>
      <w:r w:rsidR="00C860BC">
        <w:rPr>
          <w:rFonts w:ascii="Tahoma" w:hAnsi="Tahoma" w:cs="Tahoma"/>
        </w:rPr>
        <w:t>son niveau actuel</w:t>
      </w:r>
      <w:r w:rsidR="00D82BBA">
        <w:rPr>
          <w:rFonts w:ascii="Tahoma" w:hAnsi="Tahoma" w:cs="Tahoma"/>
        </w:rPr>
        <w:t xml:space="preserve"> de 3553, l’ancien point de retracement de 3596 dans une logique d’inversion des polarités pourrait agir négativement sur les cours. Pour finir, le plat de KS mensuel de 3668, force de rappel et résistance pourrait venir à bout du rebond des prix.</w:t>
      </w:r>
    </w:p>
    <w:p w14:paraId="10BB9766" w14:textId="77777777" w:rsidR="00723F77" w:rsidRDefault="00723F77" w:rsidP="00041E45">
      <w:pPr>
        <w:jc w:val="both"/>
        <w:rPr>
          <w:rFonts w:ascii="Tahoma" w:hAnsi="Tahoma" w:cs="Tahoma"/>
        </w:rPr>
      </w:pPr>
    </w:p>
    <w:p w14:paraId="655E9AC0" w14:textId="233F18DE" w:rsidR="00723F77" w:rsidRDefault="00835AC6" w:rsidP="00041E45">
      <w:pPr>
        <w:jc w:val="both"/>
        <w:rPr>
          <w:rFonts w:ascii="Tahoma" w:hAnsi="Tahoma" w:cs="Tahoma"/>
        </w:rPr>
      </w:pPr>
      <w:r w:rsidRPr="00835AC6">
        <w:rPr>
          <w:rFonts w:ascii="Tahoma" w:hAnsi="Tahoma" w:cs="Tahoma"/>
          <w:u w:val="single"/>
        </w:rPr>
        <w:t>CONCLUSION</w:t>
      </w:r>
      <w:r>
        <w:rPr>
          <w:rFonts w:ascii="Tahoma" w:hAnsi="Tahoma" w:cs="Tahoma"/>
        </w:rPr>
        <w:t> :</w:t>
      </w:r>
      <w:r w:rsidR="00D82BBA">
        <w:rPr>
          <w:rFonts w:ascii="Tahoma" w:hAnsi="Tahoma" w:cs="Tahoma"/>
        </w:rPr>
        <w:t xml:space="preserve"> Haussier à neutre </w:t>
      </w:r>
      <w:r w:rsidR="00C860BC">
        <w:rPr>
          <w:rFonts w:ascii="Tahoma" w:hAnsi="Tahoma" w:cs="Tahoma"/>
        </w:rPr>
        <w:t>au-dessus</w:t>
      </w:r>
      <w:r w:rsidR="00D82BBA">
        <w:rPr>
          <w:rFonts w:ascii="Tahoma" w:hAnsi="Tahoma" w:cs="Tahoma"/>
        </w:rPr>
        <w:t xml:space="preserve"> de 3250.</w:t>
      </w:r>
    </w:p>
    <w:p w14:paraId="7ECBFD62" w14:textId="77777777" w:rsidR="00723F77" w:rsidRDefault="00723F77" w:rsidP="00041E45">
      <w:pPr>
        <w:jc w:val="both"/>
        <w:rPr>
          <w:rFonts w:ascii="Tahoma" w:hAnsi="Tahoma" w:cs="Tahoma"/>
        </w:rPr>
      </w:pPr>
    </w:p>
    <w:p w14:paraId="22FFB91E" w14:textId="77777777" w:rsidR="00723F77" w:rsidRPr="00723F77" w:rsidRDefault="00467005" w:rsidP="00723F77">
      <w:pPr>
        <w:jc w:val="both"/>
        <w:rPr>
          <w:rFonts w:ascii="Arial" w:eastAsia="Calibri" w:hAnsi="Arial" w:cs="Arial"/>
          <w:b/>
          <w:i/>
          <w:sz w:val="24"/>
          <w:szCs w:val="24"/>
          <w:lang w:eastAsia="fr-FR"/>
        </w:rPr>
      </w:pPr>
      <w:r>
        <w:rPr>
          <w:rFonts w:ascii="Tahoma" w:hAnsi="Tahoma" w:cs="Tahoma"/>
        </w:rPr>
        <w:lastRenderedPageBreak/>
        <w:t xml:space="preserve"> </w:t>
      </w:r>
      <w:r w:rsidR="00723F77" w:rsidRPr="00723F77">
        <w:rPr>
          <w:rFonts w:ascii="Arial" w:eastAsia="Calibri" w:hAnsi="Arial" w:cs="Arial"/>
          <w:b/>
          <w:i/>
          <w:color w:val="993366"/>
          <w:sz w:val="24"/>
          <w:szCs w:val="24"/>
          <w:lang w:eastAsia="fr-FR"/>
        </w:rPr>
        <w:t>TS (mauve)</w:t>
      </w:r>
      <w:r w:rsidR="00723F77" w:rsidRPr="00723F77">
        <w:rPr>
          <w:rFonts w:ascii="Arial" w:eastAsia="Calibri" w:hAnsi="Arial" w:cs="Arial"/>
          <w:b/>
          <w:i/>
          <w:sz w:val="24"/>
          <w:szCs w:val="24"/>
          <w:lang w:eastAsia="fr-FR"/>
        </w:rPr>
        <w:t xml:space="preserve"> =  </w:t>
      </w:r>
      <w:r w:rsidR="00723F77" w:rsidRPr="00723F77">
        <w:rPr>
          <w:rFonts w:ascii="Arial" w:eastAsia="Calibri" w:hAnsi="Arial" w:cs="Arial"/>
          <w:b/>
          <w:i/>
          <w:sz w:val="24"/>
          <w:szCs w:val="24"/>
          <w:u w:val="single"/>
          <w:lang w:eastAsia="fr-FR"/>
        </w:rPr>
        <w:t>plus haut + plus bas</w:t>
      </w:r>
      <w:r w:rsidR="00723F77" w:rsidRPr="00723F77">
        <w:rPr>
          <w:rFonts w:ascii="Arial" w:eastAsia="Calibri" w:hAnsi="Arial" w:cs="Arial"/>
          <w:b/>
          <w:i/>
          <w:sz w:val="24"/>
          <w:szCs w:val="24"/>
          <w:lang w:eastAsia="fr-FR"/>
        </w:rPr>
        <w:t xml:space="preserve">                    sur les 9 dernières périodes</w:t>
      </w:r>
    </w:p>
    <w:p w14:paraId="476D8B5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5087617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4B322C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008000"/>
          <w:sz w:val="24"/>
          <w:szCs w:val="24"/>
          <w:lang w:eastAsia="fr-FR"/>
        </w:rPr>
        <w:t>KS (vert)</w:t>
      </w:r>
      <w:r w:rsidRPr="00723F77">
        <w:rPr>
          <w:rFonts w:ascii="Arial" w:eastAsia="Calibri" w:hAnsi="Arial" w:cs="Arial"/>
          <w:b/>
          <w:i/>
          <w:sz w:val="24"/>
          <w:szCs w:val="24"/>
          <w:lang w:eastAsia="fr-FR"/>
        </w:rPr>
        <w:t xml:space="preserv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26 dernières périodes</w:t>
      </w:r>
    </w:p>
    <w:p w14:paraId="1749A1CE"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7ED12530"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FF6600"/>
          <w:sz w:val="24"/>
          <w:szCs w:val="24"/>
          <w:lang w:eastAsia="fr-FR"/>
        </w:rPr>
        <w:t>LS (orange)</w:t>
      </w:r>
      <w:r w:rsidRPr="00723F77">
        <w:rPr>
          <w:rFonts w:ascii="Arial" w:eastAsia="Calibri" w:hAnsi="Arial" w:cs="Arial"/>
          <w:b/>
          <w:i/>
          <w:sz w:val="24"/>
          <w:szCs w:val="24"/>
          <w:lang w:eastAsia="fr-FR"/>
        </w:rPr>
        <w:t xml:space="preserve"> = clôture                                           décalée de 26 périodes en arrière</w:t>
      </w:r>
    </w:p>
    <w:p w14:paraId="388C9BF9"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5486AE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SSA (bordure du nuage) =   </w:t>
      </w:r>
      <w:r w:rsidRPr="00723F77">
        <w:rPr>
          <w:rFonts w:ascii="Arial" w:eastAsia="Calibri" w:hAnsi="Arial" w:cs="Arial"/>
          <w:b/>
          <w:i/>
          <w:sz w:val="24"/>
          <w:szCs w:val="24"/>
          <w:u w:val="single"/>
          <w:lang w:eastAsia="fr-FR"/>
        </w:rPr>
        <w:t>TS + KS</w:t>
      </w:r>
      <w:r w:rsidRPr="00723F77">
        <w:rPr>
          <w:rFonts w:ascii="Arial" w:eastAsia="Calibri" w:hAnsi="Arial" w:cs="Arial"/>
          <w:b/>
          <w:i/>
          <w:sz w:val="24"/>
          <w:szCs w:val="24"/>
          <w:lang w:eastAsia="fr-FR"/>
        </w:rPr>
        <w:t xml:space="preserve">                   projetée 26 périodes en avant</w:t>
      </w:r>
    </w:p>
    <w:p w14:paraId="463A431D"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442D7A8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FC2D328" w14:textId="77777777" w:rsidR="00723F77" w:rsidRPr="00723F77" w:rsidRDefault="00723F77" w:rsidP="00723F77">
      <w:pPr>
        <w:spacing w:after="0" w:line="240" w:lineRule="auto"/>
        <w:jc w:val="both"/>
        <w:rPr>
          <w:rFonts w:ascii="Arial" w:eastAsia="Calibri" w:hAnsi="Arial" w:cs="Arial"/>
          <w:b/>
          <w:i/>
          <w:sz w:val="24"/>
          <w:szCs w:val="24"/>
          <w:u w:val="single"/>
          <w:lang w:eastAsia="fr-FR"/>
        </w:rPr>
      </w:pPr>
      <w:r w:rsidRPr="00723F77">
        <w:rPr>
          <w:rFonts w:ascii="Arial" w:eastAsia="Calibri" w:hAnsi="Arial" w:cs="Arial"/>
          <w:b/>
          <w:i/>
          <w:sz w:val="24"/>
          <w:szCs w:val="24"/>
          <w:lang w:eastAsia="fr-FR"/>
        </w:rPr>
        <w:t xml:space="preserve">SSB (bordure opposée du nuage)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52 dernières </w:t>
      </w:r>
    </w:p>
    <w:p w14:paraId="102B62E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6B7DE253"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7608303"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périodes, projetées 26 périodes en avant</w:t>
      </w:r>
    </w:p>
    <w:p w14:paraId="2C8EE37B"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B9B3E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6F37BD65"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u w:val="single"/>
          <w:lang w:eastAsia="fr-FR"/>
        </w:rPr>
        <w:t>Unités de temps</w:t>
      </w:r>
      <w:r w:rsidRPr="00723F77">
        <w:rPr>
          <w:rFonts w:ascii="Arial" w:eastAsia="Calibri" w:hAnsi="Arial" w:cs="Arial"/>
          <w:b/>
          <w:i/>
          <w:sz w:val="24"/>
          <w:szCs w:val="24"/>
          <w:lang w:eastAsia="fr-FR"/>
        </w:rPr>
        <w:t xml:space="preserve"> : </w:t>
      </w:r>
    </w:p>
    <w:p w14:paraId="4869BE0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BAC255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W: weekly</w:t>
      </w:r>
    </w:p>
    <w:p w14:paraId="3620DAF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57DDCB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D: daily</w:t>
      </w:r>
    </w:p>
    <w:p w14:paraId="6889839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E8B192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H4: base 4 heures  </w:t>
      </w:r>
    </w:p>
    <w:p w14:paraId="395064A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C31335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H1 : base horaire</w:t>
      </w:r>
    </w:p>
    <w:p w14:paraId="668BECBE"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1062831"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30M : base 30 minutes</w:t>
      </w:r>
    </w:p>
    <w:p w14:paraId="04409A4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03B719" w14:textId="3D6A3070" w:rsidR="00467005" w:rsidRPr="00467005" w:rsidRDefault="00467005" w:rsidP="00041E45">
      <w:pPr>
        <w:jc w:val="both"/>
        <w:rPr>
          <w:rFonts w:ascii="Tahoma" w:hAnsi="Tahoma" w:cs="Tahoma"/>
        </w:rPr>
      </w:pPr>
    </w:p>
    <w:sectPr w:rsidR="00467005" w:rsidRPr="004670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AB8"/>
    <w:rsid w:val="0002580A"/>
    <w:rsid w:val="00041E45"/>
    <w:rsid w:val="000524C5"/>
    <w:rsid w:val="000556C3"/>
    <w:rsid w:val="000833FB"/>
    <w:rsid w:val="00092058"/>
    <w:rsid w:val="000B7DFC"/>
    <w:rsid w:val="000D4ED3"/>
    <w:rsid w:val="001018AD"/>
    <w:rsid w:val="00105B4E"/>
    <w:rsid w:val="00134AFA"/>
    <w:rsid w:val="0014687D"/>
    <w:rsid w:val="0015581D"/>
    <w:rsid w:val="00163C46"/>
    <w:rsid w:val="001705F4"/>
    <w:rsid w:val="00190995"/>
    <w:rsid w:val="001D474B"/>
    <w:rsid w:val="001F650A"/>
    <w:rsid w:val="002003AD"/>
    <w:rsid w:val="002421FE"/>
    <w:rsid w:val="00262E25"/>
    <w:rsid w:val="00263ED0"/>
    <w:rsid w:val="002A1F8E"/>
    <w:rsid w:val="002B5CB1"/>
    <w:rsid w:val="002C0A31"/>
    <w:rsid w:val="002F54B0"/>
    <w:rsid w:val="0030643B"/>
    <w:rsid w:val="00337611"/>
    <w:rsid w:val="00340FD9"/>
    <w:rsid w:val="00352DD9"/>
    <w:rsid w:val="0040171B"/>
    <w:rsid w:val="00467005"/>
    <w:rsid w:val="004A5154"/>
    <w:rsid w:val="00531928"/>
    <w:rsid w:val="005440A4"/>
    <w:rsid w:val="00546A5A"/>
    <w:rsid w:val="00566580"/>
    <w:rsid w:val="00567AF3"/>
    <w:rsid w:val="00583BC8"/>
    <w:rsid w:val="00654380"/>
    <w:rsid w:val="006E32BB"/>
    <w:rsid w:val="00717C42"/>
    <w:rsid w:val="00723F77"/>
    <w:rsid w:val="00744696"/>
    <w:rsid w:val="00772067"/>
    <w:rsid w:val="0077545D"/>
    <w:rsid w:val="007A0E6C"/>
    <w:rsid w:val="007B661D"/>
    <w:rsid w:val="007D19FF"/>
    <w:rsid w:val="007D2085"/>
    <w:rsid w:val="0083454A"/>
    <w:rsid w:val="00835AC6"/>
    <w:rsid w:val="00837B38"/>
    <w:rsid w:val="00896554"/>
    <w:rsid w:val="008A7407"/>
    <w:rsid w:val="008F10C2"/>
    <w:rsid w:val="00902D2F"/>
    <w:rsid w:val="00924BBB"/>
    <w:rsid w:val="00961FDF"/>
    <w:rsid w:val="00983B7D"/>
    <w:rsid w:val="009A37C2"/>
    <w:rsid w:val="009F3AB8"/>
    <w:rsid w:val="00A11606"/>
    <w:rsid w:val="00A6401C"/>
    <w:rsid w:val="00A81AB7"/>
    <w:rsid w:val="00AE7F3B"/>
    <w:rsid w:val="00B34260"/>
    <w:rsid w:val="00B41C02"/>
    <w:rsid w:val="00B50E38"/>
    <w:rsid w:val="00B554B8"/>
    <w:rsid w:val="00B64EE0"/>
    <w:rsid w:val="00B93A91"/>
    <w:rsid w:val="00BB0E32"/>
    <w:rsid w:val="00BB6D9D"/>
    <w:rsid w:val="00BC77A5"/>
    <w:rsid w:val="00BD3FC1"/>
    <w:rsid w:val="00C17ED7"/>
    <w:rsid w:val="00C41F15"/>
    <w:rsid w:val="00C70171"/>
    <w:rsid w:val="00C70A68"/>
    <w:rsid w:val="00C82E98"/>
    <w:rsid w:val="00C860BC"/>
    <w:rsid w:val="00CC7C21"/>
    <w:rsid w:val="00CE0886"/>
    <w:rsid w:val="00CF2516"/>
    <w:rsid w:val="00CF6D63"/>
    <w:rsid w:val="00D23B28"/>
    <w:rsid w:val="00D3311C"/>
    <w:rsid w:val="00D46C8D"/>
    <w:rsid w:val="00D82BBA"/>
    <w:rsid w:val="00DE5444"/>
    <w:rsid w:val="00DF072F"/>
    <w:rsid w:val="00E32014"/>
    <w:rsid w:val="00E54F20"/>
    <w:rsid w:val="00EB58BA"/>
    <w:rsid w:val="00F04A6E"/>
    <w:rsid w:val="00F04DEF"/>
    <w:rsid w:val="00F31070"/>
    <w:rsid w:val="00F53F10"/>
    <w:rsid w:val="00F636F8"/>
    <w:rsid w:val="00FA2C8E"/>
    <w:rsid w:val="00FC1860"/>
    <w:rsid w:val="00FC7EA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EB49"/>
  <w15:chartTrackingRefBased/>
  <w15:docId w15:val="{8D958F43-A15C-4150-B920-BE8741EFE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1309F-AB94-4C63-8650-B80168C5A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536</TotalTime>
  <Pages>2</Pages>
  <Words>290</Words>
  <Characters>1600</Characters>
  <Application>Microsoft Office Word</Application>
  <DocSecurity>0</DocSecurity>
  <Lines>13</Lines>
  <Paragraphs>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jean-luc attal</dc:creator>
  <cp:keywords/>
  <dc:description/>
  <cp:lastModifiedBy>jean-luc attal</cp:lastModifiedBy>
  <cp:revision>79</cp:revision>
  <dcterms:created xsi:type="dcterms:W3CDTF">2021-11-25T09:44:00Z</dcterms:created>
  <dcterms:modified xsi:type="dcterms:W3CDTF">2022-10-22T09:47:00Z</dcterms:modified>
</cp:coreProperties>
</file>