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4E9B7CEB" w:rsidR="00902D2F" w:rsidRDefault="00891061" w:rsidP="00B41C02">
      <w:pPr>
        <w:jc w:val="both"/>
        <w:rPr>
          <w:rFonts w:ascii="Tahoma" w:hAnsi="Tahoma" w:cs="Tahoma"/>
        </w:rPr>
      </w:pPr>
      <w:r>
        <w:rPr>
          <w:noProof/>
        </w:rPr>
        <w:drawing>
          <wp:inline distT="0" distB="0" distL="0" distR="0" wp14:anchorId="3A716F53" wp14:editId="6594BE6D">
            <wp:extent cx="5760720" cy="3810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810000"/>
                    </a:xfrm>
                    <a:prstGeom prst="rect">
                      <a:avLst/>
                    </a:prstGeom>
                    <a:noFill/>
                    <a:ln>
                      <a:noFill/>
                    </a:ln>
                  </pic:spPr>
                </pic:pic>
              </a:graphicData>
            </a:graphic>
          </wp:inline>
        </w:drawing>
      </w:r>
    </w:p>
    <w:p w14:paraId="3F4739C0" w14:textId="35209725" w:rsidR="002C57C4" w:rsidRDefault="00352DD9" w:rsidP="002C57C4">
      <w:pPr>
        <w:jc w:val="both"/>
        <w:rPr>
          <w:rFonts w:ascii="Tahoma" w:hAnsi="Tahoma" w:cs="Tahoma"/>
        </w:rPr>
      </w:pPr>
      <w:r>
        <w:rPr>
          <w:rFonts w:ascii="Tahoma" w:hAnsi="Tahoma" w:cs="Tahoma"/>
        </w:rPr>
        <w:t>L</w:t>
      </w:r>
      <w:r w:rsidR="002C57C4">
        <w:rPr>
          <w:rFonts w:ascii="Tahoma" w:hAnsi="Tahoma" w:cs="Tahoma"/>
        </w:rPr>
        <w:t>e rebond de l’indice est composé essentiellement de chandelles blanches. Cette couleur montre une certaine conviction de la part des acheteurs.</w:t>
      </w:r>
    </w:p>
    <w:p w14:paraId="1B5D0D67" w14:textId="25435307" w:rsidR="00A67A61" w:rsidRDefault="002C57C4" w:rsidP="002C57C4">
      <w:pPr>
        <w:jc w:val="both"/>
        <w:rPr>
          <w:rFonts w:ascii="Tahoma" w:hAnsi="Tahoma" w:cs="Tahoma"/>
        </w:rPr>
      </w:pPr>
      <w:r>
        <w:rPr>
          <w:rFonts w:ascii="Tahoma" w:hAnsi="Tahoma" w:cs="Tahoma"/>
        </w:rPr>
        <w:t xml:space="preserve">La dynamique des prix est positive. Après avoir </w:t>
      </w:r>
      <w:r w:rsidR="00977F22">
        <w:rPr>
          <w:rFonts w:ascii="Tahoma" w:hAnsi="Tahoma" w:cs="Tahoma"/>
        </w:rPr>
        <w:t>bâti</w:t>
      </w:r>
      <w:r>
        <w:rPr>
          <w:rFonts w:ascii="Tahoma" w:hAnsi="Tahoma" w:cs="Tahoma"/>
        </w:rPr>
        <w:t xml:space="preserve"> un support sur le niveau de 3250, les chandelles d’</w:t>
      </w:r>
      <w:r w:rsidR="00977F22">
        <w:rPr>
          <w:rFonts w:ascii="Tahoma" w:hAnsi="Tahoma" w:cs="Tahoma"/>
        </w:rPr>
        <w:t>hésitation</w:t>
      </w:r>
      <w:r>
        <w:rPr>
          <w:rFonts w:ascii="Tahoma" w:hAnsi="Tahoma" w:cs="Tahoma"/>
        </w:rPr>
        <w:t xml:space="preserve"> apparues sur ce </w:t>
      </w:r>
      <w:r w:rsidR="006E0E79">
        <w:rPr>
          <w:rFonts w:ascii="Tahoma" w:hAnsi="Tahoma" w:cs="Tahoma"/>
        </w:rPr>
        <w:t>niveau</w:t>
      </w:r>
      <w:r w:rsidR="00511D5B">
        <w:rPr>
          <w:rFonts w:ascii="Tahoma" w:hAnsi="Tahoma" w:cs="Tahoma"/>
        </w:rPr>
        <w:t xml:space="preserve"> </w:t>
      </w:r>
      <w:r w:rsidR="004B26AB">
        <w:rPr>
          <w:rFonts w:ascii="Tahoma" w:hAnsi="Tahoma" w:cs="Tahoma"/>
        </w:rPr>
        <w:t xml:space="preserve">non </w:t>
      </w:r>
      <w:r w:rsidR="00511D5B">
        <w:rPr>
          <w:rFonts w:ascii="Tahoma" w:hAnsi="Tahoma" w:cs="Tahoma"/>
        </w:rPr>
        <w:t>franchi</w:t>
      </w:r>
      <w:r w:rsidR="004B26AB">
        <w:rPr>
          <w:rFonts w:ascii="Tahoma" w:hAnsi="Tahoma" w:cs="Tahoma"/>
        </w:rPr>
        <w:t xml:space="preserve"> par les cours</w:t>
      </w:r>
      <w:r w:rsidR="00511D5B">
        <w:rPr>
          <w:rFonts w:ascii="Tahoma" w:hAnsi="Tahoma" w:cs="Tahoma"/>
        </w:rPr>
        <w:t xml:space="preserve">, ont transformé le doute en conviction haussière. Les trois chandeliers blancs </w:t>
      </w:r>
      <w:r w:rsidR="008A7BB2" w:rsidRPr="008A7BB2">
        <w:rPr>
          <w:rFonts w:ascii="Tahoma" w:hAnsi="Tahoma" w:cs="Tahoma"/>
        </w:rPr>
        <w:t>survenus</w:t>
      </w:r>
      <w:r w:rsidR="00511D5B" w:rsidRPr="00511D5B">
        <w:rPr>
          <w:rFonts w:ascii="Tahoma" w:hAnsi="Tahoma" w:cs="Tahoma"/>
          <w:u w:val="single"/>
        </w:rPr>
        <w:t xml:space="preserve"> </w:t>
      </w:r>
      <w:r w:rsidR="00511D5B">
        <w:rPr>
          <w:rFonts w:ascii="Tahoma" w:hAnsi="Tahoma" w:cs="Tahoma"/>
        </w:rPr>
        <w:t>par la suite (trois soldats blancs) donnent à ce rebond une certaine solidité</w:t>
      </w:r>
      <w:r w:rsidR="004070BC">
        <w:rPr>
          <w:rFonts w:ascii="Tahoma" w:hAnsi="Tahoma" w:cs="Tahoma"/>
        </w:rPr>
        <w:t xml:space="preserve"> qui laisse penser que les prix continueront leur progression</w:t>
      </w:r>
      <w:r w:rsidR="00D25AD9">
        <w:rPr>
          <w:rFonts w:ascii="Tahoma" w:hAnsi="Tahoma" w:cs="Tahoma"/>
        </w:rPr>
        <w:t xml:space="preserve"> comme </w:t>
      </w:r>
      <w:r w:rsidR="004B26AB">
        <w:rPr>
          <w:rFonts w:ascii="Tahoma" w:hAnsi="Tahoma" w:cs="Tahoma"/>
        </w:rPr>
        <w:t>l’évoquait</w:t>
      </w:r>
      <w:r w:rsidR="00D25AD9">
        <w:rPr>
          <w:rFonts w:ascii="Tahoma" w:hAnsi="Tahoma" w:cs="Tahoma"/>
        </w:rPr>
        <w:t xml:space="preserve"> l’analyse mensuelle</w:t>
      </w:r>
      <w:r w:rsidR="004B26AB">
        <w:rPr>
          <w:rFonts w:ascii="Tahoma" w:hAnsi="Tahoma" w:cs="Tahoma"/>
        </w:rPr>
        <w:t>,</w:t>
      </w:r>
      <w:r w:rsidR="00D25AD9">
        <w:rPr>
          <w:rFonts w:ascii="Tahoma" w:hAnsi="Tahoma" w:cs="Tahoma"/>
        </w:rPr>
        <w:t xml:space="preserve"> positive tant que l’indice évoluerait </w:t>
      </w:r>
      <w:r w:rsidR="00977F22">
        <w:rPr>
          <w:rFonts w:ascii="Tahoma" w:hAnsi="Tahoma" w:cs="Tahoma"/>
        </w:rPr>
        <w:t>au-dessus</w:t>
      </w:r>
      <w:r w:rsidR="00D25AD9">
        <w:rPr>
          <w:rFonts w:ascii="Tahoma" w:hAnsi="Tahoma" w:cs="Tahoma"/>
        </w:rPr>
        <w:t xml:space="preserve"> de 3443.</w:t>
      </w:r>
      <w:r w:rsidR="00A67A61">
        <w:rPr>
          <w:rFonts w:ascii="Tahoma" w:hAnsi="Tahoma" w:cs="Tahoma"/>
        </w:rPr>
        <w:t xml:space="preserve"> Sur le court terme, il ne reste plus qu’une dernière résistance matérialisée par la bordure du nuage (SSA) sur 3704 avant de placer cette unité de temps dans un environnement haussier.</w:t>
      </w:r>
    </w:p>
    <w:p w14:paraId="67B8B186" w14:textId="1F2059CA" w:rsidR="00467005" w:rsidRDefault="00510D39" w:rsidP="00041E45">
      <w:pPr>
        <w:jc w:val="both"/>
        <w:rPr>
          <w:rFonts w:ascii="Tahoma" w:hAnsi="Tahoma" w:cs="Tahoma"/>
        </w:rPr>
      </w:pPr>
      <w:r>
        <w:rPr>
          <w:rFonts w:ascii="Tahoma" w:hAnsi="Tahoma" w:cs="Tahoma"/>
        </w:rPr>
        <w:t xml:space="preserve">Sur le moyen terme, même si la dynamique des prix est positive, il n’en reste pas moins que cours et LS évoluent dans un environnement baissier et que le marché devra s’affranchir d’une </w:t>
      </w:r>
      <w:r w:rsidR="00977F22">
        <w:rPr>
          <w:rFonts w:ascii="Tahoma" w:hAnsi="Tahoma" w:cs="Tahoma"/>
        </w:rPr>
        <w:t>série</w:t>
      </w:r>
      <w:r>
        <w:rPr>
          <w:rFonts w:ascii="Tahoma" w:hAnsi="Tahoma" w:cs="Tahoma"/>
        </w:rPr>
        <w:t xml:space="preserve"> de résistance</w:t>
      </w:r>
      <w:r w:rsidR="00977F22">
        <w:rPr>
          <w:rFonts w:ascii="Tahoma" w:hAnsi="Tahoma" w:cs="Tahoma"/>
        </w:rPr>
        <w:t>s</w:t>
      </w:r>
      <w:r>
        <w:rPr>
          <w:rFonts w:ascii="Tahoma" w:hAnsi="Tahoma" w:cs="Tahoma"/>
        </w:rPr>
        <w:t xml:space="preserve"> pour envisager un changement de contexte.</w:t>
      </w:r>
      <w:r w:rsidR="009B78F7">
        <w:rPr>
          <w:rFonts w:ascii="Tahoma" w:hAnsi="Tahoma" w:cs="Tahoma"/>
        </w:rPr>
        <w:t xml:space="preserve"> Le nuage des prix compris entre 3838 et 3901 sera la première résistance importante</w:t>
      </w:r>
      <w:r w:rsidR="00944D22">
        <w:rPr>
          <w:rFonts w:ascii="Tahoma" w:hAnsi="Tahoma" w:cs="Tahoma"/>
        </w:rPr>
        <w:t xml:space="preserve"> avant que la LS ne soit confrontée à son propre nuage.</w:t>
      </w:r>
      <w:r w:rsidR="009B78F7">
        <w:rPr>
          <w:rFonts w:ascii="Tahoma" w:hAnsi="Tahoma" w:cs="Tahoma"/>
        </w:rPr>
        <w:t xml:space="preserve"> Le plat de KS de 3553 devra servir de support en cas d’échec de rupture du nuage.</w:t>
      </w:r>
    </w:p>
    <w:p w14:paraId="10BB9766" w14:textId="77777777" w:rsidR="00723F77" w:rsidRDefault="00723F77" w:rsidP="00041E45">
      <w:pPr>
        <w:jc w:val="both"/>
        <w:rPr>
          <w:rFonts w:ascii="Tahoma" w:hAnsi="Tahoma" w:cs="Tahoma"/>
        </w:rPr>
      </w:pPr>
    </w:p>
    <w:p w14:paraId="655E9AC0" w14:textId="6C2E606C"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AE702A">
        <w:rPr>
          <w:rFonts w:ascii="Tahoma" w:hAnsi="Tahoma" w:cs="Tahoma"/>
        </w:rPr>
        <w:t xml:space="preserve"> Biais haussier </w:t>
      </w:r>
      <w:r w:rsidR="00977F22">
        <w:rPr>
          <w:rFonts w:ascii="Tahoma" w:hAnsi="Tahoma" w:cs="Tahoma"/>
        </w:rPr>
        <w:t>au-dessus</w:t>
      </w:r>
      <w:r w:rsidR="00AE702A">
        <w:rPr>
          <w:rFonts w:ascii="Tahoma" w:hAnsi="Tahoma" w:cs="Tahoma"/>
        </w:rPr>
        <w:t xml:space="preserve"> de 3704. Limite de la hausse à 3901 dans un premier temps.</w:t>
      </w:r>
    </w:p>
    <w:p w14:paraId="7ECBFD62" w14:textId="77777777" w:rsidR="00723F77" w:rsidRDefault="00723F77"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62E25"/>
    <w:rsid w:val="00263ED0"/>
    <w:rsid w:val="002A1F8E"/>
    <w:rsid w:val="002B5CB1"/>
    <w:rsid w:val="002C0A31"/>
    <w:rsid w:val="002C57C4"/>
    <w:rsid w:val="002F54B0"/>
    <w:rsid w:val="0030643B"/>
    <w:rsid w:val="00337611"/>
    <w:rsid w:val="00340FD9"/>
    <w:rsid w:val="00352DD9"/>
    <w:rsid w:val="0040171B"/>
    <w:rsid w:val="004070BC"/>
    <w:rsid w:val="00467005"/>
    <w:rsid w:val="004A5154"/>
    <w:rsid w:val="004B26AB"/>
    <w:rsid w:val="00510D39"/>
    <w:rsid w:val="00511D5B"/>
    <w:rsid w:val="00531928"/>
    <w:rsid w:val="005440A4"/>
    <w:rsid w:val="00546A5A"/>
    <w:rsid w:val="00566580"/>
    <w:rsid w:val="00567AF3"/>
    <w:rsid w:val="00583BC8"/>
    <w:rsid w:val="00654380"/>
    <w:rsid w:val="006E0E79"/>
    <w:rsid w:val="006E32BB"/>
    <w:rsid w:val="00723F77"/>
    <w:rsid w:val="00744696"/>
    <w:rsid w:val="00772067"/>
    <w:rsid w:val="0077545D"/>
    <w:rsid w:val="007A0E6C"/>
    <w:rsid w:val="007B661D"/>
    <w:rsid w:val="007D19FF"/>
    <w:rsid w:val="007D2085"/>
    <w:rsid w:val="0083454A"/>
    <w:rsid w:val="00835AC6"/>
    <w:rsid w:val="00837B38"/>
    <w:rsid w:val="00891061"/>
    <w:rsid w:val="00896554"/>
    <w:rsid w:val="008A7407"/>
    <w:rsid w:val="008A7BB2"/>
    <w:rsid w:val="008F10C2"/>
    <w:rsid w:val="00902D2F"/>
    <w:rsid w:val="00944D22"/>
    <w:rsid w:val="00961FDF"/>
    <w:rsid w:val="00977F22"/>
    <w:rsid w:val="00983B7D"/>
    <w:rsid w:val="009A37C2"/>
    <w:rsid w:val="009B78F7"/>
    <w:rsid w:val="009F3AB8"/>
    <w:rsid w:val="00A11606"/>
    <w:rsid w:val="00A6401C"/>
    <w:rsid w:val="00A67A61"/>
    <w:rsid w:val="00A81AB7"/>
    <w:rsid w:val="00AE702A"/>
    <w:rsid w:val="00AE7F3B"/>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25AD9"/>
    <w:rsid w:val="00D46C8D"/>
    <w:rsid w:val="00DE5444"/>
    <w:rsid w:val="00DF072F"/>
    <w:rsid w:val="00E32014"/>
    <w:rsid w:val="00EB58BA"/>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554</TotalTime>
  <Pages>2</Pages>
  <Words>343</Words>
  <Characters>1889</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88</cp:revision>
  <dcterms:created xsi:type="dcterms:W3CDTF">2021-11-25T09:44:00Z</dcterms:created>
  <dcterms:modified xsi:type="dcterms:W3CDTF">2022-11-05T16:16:00Z</dcterms:modified>
</cp:coreProperties>
</file>