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0F181AC9" w:rsidR="00902D2F" w:rsidRPr="00041E45" w:rsidRDefault="00D01F1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58CF3FB8" w:rsidR="00902D2F" w:rsidRDefault="00D01F1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C0181D0" wp14:editId="0062C313">
            <wp:extent cx="6473802" cy="3494868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375" cy="3515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47E468F3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D01F1D">
        <w:rPr>
          <w:rFonts w:ascii="Tahoma" w:hAnsi="Tahoma" w:cs="Tahoma"/>
        </w:rPr>
        <w:t>a hausse des prix au cours du mois de janvier a invalidé la couverture en nuage noire, structure d’alerte baissière qui avait pris forme en décembre.</w:t>
      </w:r>
    </w:p>
    <w:p w14:paraId="209B0201" w14:textId="42D6E104" w:rsidR="003D389B" w:rsidRDefault="003D389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action des prix est positive. Elle s’inscrit dans le cadre d’un marché </w:t>
      </w:r>
      <w:r w:rsidR="00BA6D35">
        <w:rPr>
          <w:rFonts w:ascii="Tahoma" w:hAnsi="Tahoma" w:cs="Tahoma"/>
        </w:rPr>
        <w:t>haussier</w:t>
      </w:r>
      <w:r>
        <w:rPr>
          <w:rFonts w:ascii="Tahoma" w:hAnsi="Tahoma" w:cs="Tahoma"/>
        </w:rPr>
        <w:t xml:space="preserve"> qui </w:t>
      </w:r>
      <w:r w:rsidR="00BA6D35">
        <w:rPr>
          <w:rFonts w:ascii="Tahoma" w:hAnsi="Tahoma" w:cs="Tahoma"/>
        </w:rPr>
        <w:t>avec</w:t>
      </w:r>
      <w:r>
        <w:rPr>
          <w:rFonts w:ascii="Tahoma" w:hAnsi="Tahoma" w:cs="Tahoma"/>
        </w:rPr>
        <w:t xml:space="preserve"> une nouvelle longue bougie blanche devrait parvenir sans trop de problème sur ses précédents sommets de 4400 points.</w:t>
      </w:r>
    </w:p>
    <w:p w14:paraId="65B16AE1" w14:textId="39AFA76E" w:rsidR="00583BC8" w:rsidRDefault="00904FE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souvent dans ce type de configuration haussière, le risque d’un </w:t>
      </w:r>
      <w:r w:rsidR="00792CE0">
        <w:rPr>
          <w:rFonts w:ascii="Tahoma" w:hAnsi="Tahoma" w:cs="Tahoma"/>
        </w:rPr>
        <w:t>essoufflement</w:t>
      </w:r>
      <w:r>
        <w:rPr>
          <w:rFonts w:ascii="Tahoma" w:hAnsi="Tahoma" w:cs="Tahoma"/>
        </w:rPr>
        <w:t xml:space="preserve"> du mouvement existe. Quoi qu’il en soit, la force haussière restera intacte tant que les corrections se limiteront au point médian du dernier marubozu.</w:t>
      </w:r>
      <w:r w:rsidR="00DB1281">
        <w:rPr>
          <w:rFonts w:ascii="Tahoma" w:hAnsi="Tahoma" w:cs="Tahoma"/>
        </w:rPr>
        <w:t xml:space="preserve"> Cela donne </w:t>
      </w:r>
      <w:r w:rsidR="00BA6D35">
        <w:rPr>
          <w:rFonts w:ascii="Tahoma" w:hAnsi="Tahoma" w:cs="Tahoma"/>
        </w:rPr>
        <w:t>le</w:t>
      </w:r>
      <w:r w:rsidR="00DB1281">
        <w:rPr>
          <w:rFonts w:ascii="Tahoma" w:hAnsi="Tahoma" w:cs="Tahoma"/>
        </w:rPr>
        <w:t xml:space="preserve"> niveau </w:t>
      </w:r>
      <w:r w:rsidR="00BA6D35">
        <w:rPr>
          <w:rFonts w:ascii="Tahoma" w:hAnsi="Tahoma" w:cs="Tahoma"/>
        </w:rPr>
        <w:t>des</w:t>
      </w:r>
      <w:r w:rsidR="00DB1281">
        <w:rPr>
          <w:rFonts w:ascii="Tahoma" w:hAnsi="Tahoma" w:cs="Tahoma"/>
        </w:rPr>
        <w:t xml:space="preserve"> 4000</w:t>
      </w:r>
      <w:r w:rsidR="00BA6D35">
        <w:rPr>
          <w:rFonts w:ascii="Tahoma" w:hAnsi="Tahoma" w:cs="Tahoma"/>
        </w:rPr>
        <w:t xml:space="preserve"> points</w:t>
      </w:r>
      <w:r w:rsidR="00DB1281">
        <w:rPr>
          <w:rFonts w:ascii="Tahoma" w:hAnsi="Tahoma" w:cs="Tahoma"/>
        </w:rPr>
        <w:t>.</w:t>
      </w:r>
    </w:p>
    <w:p w14:paraId="2510582B" w14:textId="4696BA26" w:rsidR="00907E91" w:rsidRDefault="00907E9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plat de KS se prolongera pour offrir un bon support exploitable sur 3832 en cas de cassure de 4000.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3D389B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92CE0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04FEE"/>
    <w:rsid w:val="00907E91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A6D35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01F1D"/>
    <w:rsid w:val="00D23B28"/>
    <w:rsid w:val="00D46C8D"/>
    <w:rsid w:val="00DB1281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2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80</cp:revision>
  <dcterms:created xsi:type="dcterms:W3CDTF">2021-11-25T09:44:00Z</dcterms:created>
  <dcterms:modified xsi:type="dcterms:W3CDTF">2023-02-01T15:23:00Z</dcterms:modified>
</cp:coreProperties>
</file>