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4C4202F" w:rsidR="00902D2F" w:rsidRDefault="000244D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A5BAF55" wp14:editId="22A9B899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7B025D4D" w:rsidR="00DF072F" w:rsidRDefault="00041E4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0244DF">
        <w:rPr>
          <w:rFonts w:ascii="Tahoma" w:hAnsi="Tahoma" w:cs="Tahoma"/>
        </w:rPr>
        <w:t xml:space="preserve"> succession de chandeliers de type doji, m’</w:t>
      </w:r>
      <w:r w:rsidR="00121B30">
        <w:rPr>
          <w:rFonts w:ascii="Tahoma" w:hAnsi="Tahoma" w:cs="Tahoma"/>
        </w:rPr>
        <w:t>amène</w:t>
      </w:r>
      <w:r w:rsidR="000244DF">
        <w:rPr>
          <w:rFonts w:ascii="Tahoma" w:hAnsi="Tahoma" w:cs="Tahoma"/>
        </w:rPr>
        <w:t xml:space="preserve"> à la prudence. En effet cette configuration graphique peut </w:t>
      </w:r>
      <w:r w:rsidR="00121B30">
        <w:rPr>
          <w:rFonts w:ascii="Tahoma" w:hAnsi="Tahoma" w:cs="Tahoma"/>
        </w:rPr>
        <w:t>être</w:t>
      </w:r>
      <w:r w:rsidR="000244DF">
        <w:rPr>
          <w:rFonts w:ascii="Tahoma" w:hAnsi="Tahoma" w:cs="Tahoma"/>
        </w:rPr>
        <w:t xml:space="preserve"> associée à une structure de retournement de type tri star où </w:t>
      </w:r>
      <w:r w:rsidR="000B6B74">
        <w:rPr>
          <w:rFonts w:ascii="Tahoma" w:hAnsi="Tahoma" w:cs="Tahoma"/>
        </w:rPr>
        <w:t xml:space="preserve">le doute des acheteurs s’accroit au fur et à mesure que les prix font du surplace. </w:t>
      </w:r>
    </w:p>
    <w:p w14:paraId="58AC72F3" w14:textId="623E48AF" w:rsidR="00833B54" w:rsidRDefault="008F2E4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il existe une alternative à cette </w:t>
      </w:r>
      <w:r w:rsidR="00EE58A7">
        <w:rPr>
          <w:rFonts w:ascii="Tahoma" w:hAnsi="Tahoma" w:cs="Tahoma"/>
        </w:rPr>
        <w:t xml:space="preserve">observation. En effet les doji peuvent aussi résulter de l’absence de dynamique de mouvement où les </w:t>
      </w:r>
      <w:r w:rsidR="00CB5C9B">
        <w:rPr>
          <w:rFonts w:ascii="Tahoma" w:hAnsi="Tahoma" w:cs="Tahoma"/>
        </w:rPr>
        <w:t>cours</w:t>
      </w:r>
      <w:r w:rsidR="00EE58A7">
        <w:rPr>
          <w:rFonts w:ascii="Tahoma" w:hAnsi="Tahoma" w:cs="Tahoma"/>
        </w:rPr>
        <w:t xml:space="preserve"> font une pause avant de repartir à la hausse.</w:t>
      </w:r>
      <w:r w:rsidR="00833B54">
        <w:rPr>
          <w:rFonts w:ascii="Tahoma" w:hAnsi="Tahoma" w:cs="Tahoma"/>
        </w:rPr>
        <w:t xml:space="preserve"> </w:t>
      </w:r>
      <w:r w:rsidR="00CB5C9B">
        <w:rPr>
          <w:rFonts w:ascii="Tahoma" w:hAnsi="Tahoma" w:cs="Tahoma"/>
        </w:rPr>
        <w:t>Et c</w:t>
      </w:r>
      <w:r w:rsidR="00833B54">
        <w:rPr>
          <w:rFonts w:ascii="Tahoma" w:hAnsi="Tahoma" w:cs="Tahoma"/>
        </w:rPr>
        <w:t>’est bien l’absence de dynamique de mouvement que traduit la forme horizontale de la TS ainsi que de la KS.</w:t>
      </w:r>
    </w:p>
    <w:p w14:paraId="10BB9766" w14:textId="0A774682" w:rsidR="00723F77" w:rsidRDefault="007F47C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une longue chandelle noire sera </w:t>
      </w:r>
      <w:r w:rsidR="00121B30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valider une perte de contrôle du marché par les Bulls.</w:t>
      </w:r>
      <w:r w:rsidR="00A0737C">
        <w:rPr>
          <w:rFonts w:ascii="Tahoma" w:hAnsi="Tahoma" w:cs="Tahoma"/>
        </w:rPr>
        <w:t xml:space="preserve"> </w:t>
      </w:r>
      <w:r w:rsidR="00235B8E">
        <w:rPr>
          <w:rFonts w:ascii="Tahoma" w:hAnsi="Tahoma" w:cs="Tahoma"/>
        </w:rPr>
        <w:t>Mais l</w:t>
      </w:r>
      <w:r w:rsidR="00A0737C">
        <w:rPr>
          <w:rFonts w:ascii="Tahoma" w:hAnsi="Tahoma" w:cs="Tahoma"/>
        </w:rPr>
        <w:t xml:space="preserve">’analyse mensuelle </w:t>
      </w:r>
      <w:r w:rsidR="00604E6E">
        <w:rPr>
          <w:rFonts w:ascii="Tahoma" w:hAnsi="Tahoma" w:cs="Tahoma"/>
        </w:rPr>
        <w:t>nous dit qu’</w:t>
      </w:r>
      <w:r w:rsidR="00121B30">
        <w:rPr>
          <w:rFonts w:ascii="Tahoma" w:hAnsi="Tahoma" w:cs="Tahoma"/>
        </w:rPr>
        <w:t>au-dessus</w:t>
      </w:r>
      <w:r w:rsidR="00604E6E">
        <w:rPr>
          <w:rFonts w:ascii="Tahoma" w:hAnsi="Tahoma" w:cs="Tahoma"/>
        </w:rPr>
        <w:t xml:space="preserve"> de 136.98, le biais restera favorable aux acheteurs.</w:t>
      </w:r>
      <w:r w:rsidR="00112AED">
        <w:rPr>
          <w:rFonts w:ascii="Tahoma" w:hAnsi="Tahoma" w:cs="Tahoma"/>
        </w:rPr>
        <w:t xml:space="preserve"> </w:t>
      </w:r>
    </w:p>
    <w:p w14:paraId="1CD8900B" w14:textId="77777777" w:rsidR="00CB5C9B" w:rsidRDefault="00CB5C9B" w:rsidP="00041E45">
      <w:pPr>
        <w:jc w:val="both"/>
        <w:rPr>
          <w:rFonts w:ascii="Tahoma" w:hAnsi="Tahoma" w:cs="Tahoma"/>
        </w:rPr>
      </w:pPr>
    </w:p>
    <w:p w14:paraId="2E975A96" w14:textId="151DBBB9" w:rsidR="00EE6B93" w:rsidRDefault="00B94D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133385">
        <w:rPr>
          <w:rFonts w:ascii="Tahoma" w:hAnsi="Tahoma" w:cs="Tahoma"/>
        </w:rPr>
        <w:t xml:space="preserve"> Pause ou affaiblissement du courant haussier? </w:t>
      </w:r>
      <w:r w:rsidR="00CF4489">
        <w:rPr>
          <w:rFonts w:ascii="Tahoma" w:hAnsi="Tahoma" w:cs="Tahoma"/>
        </w:rPr>
        <w:t xml:space="preserve"> </w:t>
      </w:r>
      <w:r w:rsidR="00133385">
        <w:rPr>
          <w:rFonts w:ascii="Tahoma" w:hAnsi="Tahoma" w:cs="Tahoma"/>
        </w:rPr>
        <w:t xml:space="preserve">quoi qu’il en soit, le rapport de force restera à l’avantage des haussiers </w:t>
      </w:r>
      <w:r w:rsidR="00121B30">
        <w:rPr>
          <w:rFonts w:ascii="Tahoma" w:hAnsi="Tahoma" w:cs="Tahoma"/>
        </w:rPr>
        <w:t>au-dessus</w:t>
      </w:r>
      <w:r w:rsidR="00133385">
        <w:rPr>
          <w:rFonts w:ascii="Tahoma" w:hAnsi="Tahoma" w:cs="Tahoma"/>
        </w:rPr>
        <w:t xml:space="preserve"> de 136.98.</w:t>
      </w:r>
    </w:p>
    <w:p w14:paraId="71B9C5EB" w14:textId="77777777" w:rsidR="00133385" w:rsidRDefault="00133385" w:rsidP="00041E45">
      <w:pPr>
        <w:jc w:val="both"/>
        <w:rPr>
          <w:rFonts w:ascii="Tahoma" w:hAnsi="Tahoma" w:cs="Tahoma"/>
        </w:rPr>
      </w:pPr>
    </w:p>
    <w:p w14:paraId="195ADAF5" w14:textId="4C039912" w:rsidR="00EE6B93" w:rsidRPr="002A2C7C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44DF"/>
    <w:rsid w:val="0002580A"/>
    <w:rsid w:val="00041E45"/>
    <w:rsid w:val="000524C5"/>
    <w:rsid w:val="000556C3"/>
    <w:rsid w:val="000833FB"/>
    <w:rsid w:val="00092058"/>
    <w:rsid w:val="000938CC"/>
    <w:rsid w:val="000B221E"/>
    <w:rsid w:val="000B6B74"/>
    <w:rsid w:val="000B7DFC"/>
    <w:rsid w:val="000C0DE4"/>
    <w:rsid w:val="000D4ED3"/>
    <w:rsid w:val="001018AD"/>
    <w:rsid w:val="00103ED4"/>
    <w:rsid w:val="00105B4E"/>
    <w:rsid w:val="00112AED"/>
    <w:rsid w:val="00121B30"/>
    <w:rsid w:val="00133385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35B8E"/>
    <w:rsid w:val="002421FE"/>
    <w:rsid w:val="00262E25"/>
    <w:rsid w:val="00263ED0"/>
    <w:rsid w:val="002A1F8E"/>
    <w:rsid w:val="002A2C7C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04E6E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7F47CE"/>
    <w:rsid w:val="00833B54"/>
    <w:rsid w:val="0083454A"/>
    <w:rsid w:val="00837B38"/>
    <w:rsid w:val="00896554"/>
    <w:rsid w:val="008A7407"/>
    <w:rsid w:val="008F10C2"/>
    <w:rsid w:val="008F2E4D"/>
    <w:rsid w:val="00902D2F"/>
    <w:rsid w:val="00961FDF"/>
    <w:rsid w:val="00983B7D"/>
    <w:rsid w:val="009A37C2"/>
    <w:rsid w:val="009F3AB8"/>
    <w:rsid w:val="00A0737C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B5C9B"/>
    <w:rsid w:val="00CC72FF"/>
    <w:rsid w:val="00CC7C21"/>
    <w:rsid w:val="00CE0886"/>
    <w:rsid w:val="00CF2516"/>
    <w:rsid w:val="00CF4489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58A7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2</Pages>
  <Words>287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109</cp:revision>
  <dcterms:created xsi:type="dcterms:W3CDTF">2021-11-25T09:44:00Z</dcterms:created>
  <dcterms:modified xsi:type="dcterms:W3CDTF">2023-02-04T16:44:00Z</dcterms:modified>
</cp:coreProperties>
</file>