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6016A576" w:rsidR="00902D2F" w:rsidRDefault="0061356F" w:rsidP="00B41C02">
      <w:pPr>
        <w:jc w:val="both"/>
        <w:rPr>
          <w:rFonts w:ascii="Tahoma" w:hAnsi="Tahoma" w:cs="Tahoma"/>
        </w:rPr>
      </w:pPr>
      <w:r>
        <w:rPr>
          <w:noProof/>
        </w:rPr>
        <w:drawing>
          <wp:inline distT="0" distB="0" distL="0" distR="0" wp14:anchorId="0E33BCF3" wp14:editId="52ACDB6D">
            <wp:extent cx="6286500" cy="471487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86500" cy="4714875"/>
                    </a:xfrm>
                    <a:prstGeom prst="rect">
                      <a:avLst/>
                    </a:prstGeom>
                    <a:noFill/>
                    <a:ln>
                      <a:noFill/>
                    </a:ln>
                  </pic:spPr>
                </pic:pic>
              </a:graphicData>
            </a:graphic>
          </wp:inline>
        </w:drawing>
      </w:r>
    </w:p>
    <w:p w14:paraId="5FD67BBA" w14:textId="77777777" w:rsidR="00FB5E5E" w:rsidRDefault="00FB5E5E" w:rsidP="00B41C02">
      <w:pPr>
        <w:jc w:val="both"/>
        <w:rPr>
          <w:rFonts w:ascii="Tahoma" w:hAnsi="Tahoma" w:cs="Tahoma"/>
        </w:rPr>
      </w:pPr>
    </w:p>
    <w:p w14:paraId="6EAD2FBC" w14:textId="2C6D8680" w:rsidR="004851BA"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1A4796">
        <w:rPr>
          <w:rFonts w:ascii="Tahoma" w:hAnsi="Tahoma" w:cs="Tahoma"/>
        </w:rPr>
        <w:t>a</w:t>
      </w:r>
      <w:r w:rsidR="0061356F">
        <w:rPr>
          <w:rFonts w:ascii="Tahoma" w:hAnsi="Tahoma" w:cs="Tahoma"/>
        </w:rPr>
        <w:t xml:space="preserve"> baisse s’est </w:t>
      </w:r>
      <w:r w:rsidR="009A7193">
        <w:rPr>
          <w:rFonts w:ascii="Tahoma" w:hAnsi="Tahoma" w:cs="Tahoma"/>
        </w:rPr>
        <w:t>poursuivie</w:t>
      </w:r>
      <w:r w:rsidR="0061356F">
        <w:rPr>
          <w:rFonts w:ascii="Tahoma" w:hAnsi="Tahoma" w:cs="Tahoma"/>
        </w:rPr>
        <w:t xml:space="preserve"> cette semaine, aidée par le maintien des prix sous le point d’équilibre de court terme de 137.75 (voir analyse de la semaine dernière). Pour autant le biais neutre à haussier reste </w:t>
      </w:r>
      <w:r w:rsidR="009A7193">
        <w:rPr>
          <w:rFonts w:ascii="Tahoma" w:hAnsi="Tahoma" w:cs="Tahoma"/>
        </w:rPr>
        <w:t>maintenu</w:t>
      </w:r>
      <w:r w:rsidR="0061356F">
        <w:rPr>
          <w:rFonts w:ascii="Tahoma" w:hAnsi="Tahoma" w:cs="Tahoma"/>
        </w:rPr>
        <w:t>. Il se base sur la zone support formée par les derniers bas qui ont pris naissance sur le support de 133.10</w:t>
      </w:r>
      <w:r w:rsidR="00341F26">
        <w:rPr>
          <w:rFonts w:ascii="Tahoma" w:hAnsi="Tahoma" w:cs="Tahoma"/>
        </w:rPr>
        <w:t xml:space="preserve"> </w:t>
      </w:r>
      <w:r w:rsidR="00FB5E5E">
        <w:rPr>
          <w:rFonts w:ascii="Tahoma" w:hAnsi="Tahoma" w:cs="Tahoma"/>
        </w:rPr>
        <w:t xml:space="preserve">et </w:t>
      </w:r>
      <w:r w:rsidR="00341F26">
        <w:rPr>
          <w:rFonts w:ascii="Tahoma" w:hAnsi="Tahoma" w:cs="Tahoma"/>
        </w:rPr>
        <w:t>matérialisé</w:t>
      </w:r>
      <w:r w:rsidR="00FB5E5E">
        <w:rPr>
          <w:rFonts w:ascii="Tahoma" w:hAnsi="Tahoma" w:cs="Tahoma"/>
        </w:rPr>
        <w:t>e</w:t>
      </w:r>
      <w:r w:rsidR="00341F26">
        <w:rPr>
          <w:rFonts w:ascii="Tahoma" w:hAnsi="Tahoma" w:cs="Tahoma"/>
        </w:rPr>
        <w:t xml:space="preserve"> par plusieurs plats sur </w:t>
      </w:r>
      <w:r w:rsidR="009A7193">
        <w:rPr>
          <w:rFonts w:ascii="Tahoma" w:hAnsi="Tahoma" w:cs="Tahoma"/>
        </w:rPr>
        <w:t>différentes</w:t>
      </w:r>
      <w:r w:rsidR="00341F26">
        <w:rPr>
          <w:rFonts w:ascii="Tahoma" w:hAnsi="Tahoma" w:cs="Tahoma"/>
        </w:rPr>
        <w:t xml:space="preserve"> unités de temps (KS, TS SSB mensuels et hebdomadaires)</w:t>
      </w:r>
      <w:r w:rsidR="004851BA">
        <w:rPr>
          <w:rFonts w:ascii="Tahoma" w:hAnsi="Tahoma" w:cs="Tahoma"/>
        </w:rPr>
        <w:t>.</w:t>
      </w:r>
    </w:p>
    <w:p w14:paraId="374D1F17" w14:textId="3187F7A0" w:rsidR="00583BC8" w:rsidRDefault="004851BA" w:rsidP="00B41C02">
      <w:pPr>
        <w:jc w:val="both"/>
        <w:rPr>
          <w:rFonts w:ascii="Tahoma" w:hAnsi="Tahoma" w:cs="Tahoma"/>
        </w:rPr>
      </w:pPr>
      <w:r>
        <w:rPr>
          <w:rFonts w:ascii="Tahoma" w:hAnsi="Tahoma" w:cs="Tahoma"/>
        </w:rPr>
        <w:t xml:space="preserve">La dernière chandelle soutient </w:t>
      </w:r>
      <w:r w:rsidR="00FB5E5E">
        <w:rPr>
          <w:rFonts w:ascii="Tahoma" w:hAnsi="Tahoma" w:cs="Tahoma"/>
        </w:rPr>
        <w:t>ma</w:t>
      </w:r>
      <w:r>
        <w:rPr>
          <w:rFonts w:ascii="Tahoma" w:hAnsi="Tahoma" w:cs="Tahoma"/>
        </w:rPr>
        <w:t xml:space="preserve"> positio</w:t>
      </w:r>
      <w:r w:rsidR="00FB5E5E">
        <w:rPr>
          <w:rFonts w:ascii="Tahoma" w:hAnsi="Tahoma" w:cs="Tahoma"/>
        </w:rPr>
        <w:t>n</w:t>
      </w:r>
      <w:r>
        <w:rPr>
          <w:rFonts w:ascii="Tahoma" w:hAnsi="Tahoma" w:cs="Tahoma"/>
        </w:rPr>
        <w:t xml:space="preserve"> qui exclue pour</w:t>
      </w:r>
      <w:r w:rsidR="00FB5E5E">
        <w:rPr>
          <w:rFonts w:ascii="Tahoma" w:hAnsi="Tahoma" w:cs="Tahoma"/>
        </w:rPr>
        <w:t xml:space="preserve"> l’instant</w:t>
      </w:r>
      <w:r>
        <w:rPr>
          <w:rFonts w:ascii="Tahoma" w:hAnsi="Tahoma" w:cs="Tahoma"/>
        </w:rPr>
        <w:t xml:space="preserve"> la baisse de l’analyse </w:t>
      </w:r>
      <w:r w:rsidR="009A7193">
        <w:rPr>
          <w:rFonts w:ascii="Tahoma" w:hAnsi="Tahoma" w:cs="Tahoma"/>
        </w:rPr>
        <w:t>au-dessus</w:t>
      </w:r>
      <w:r>
        <w:rPr>
          <w:rFonts w:ascii="Tahoma" w:hAnsi="Tahoma" w:cs="Tahoma"/>
        </w:rPr>
        <w:t xml:space="preserve"> de 133.10.</w:t>
      </w:r>
      <w:r w:rsidR="0061356F">
        <w:rPr>
          <w:rFonts w:ascii="Tahoma" w:hAnsi="Tahoma" w:cs="Tahoma"/>
        </w:rPr>
        <w:t xml:space="preserve"> </w:t>
      </w:r>
      <w:r>
        <w:rPr>
          <w:rFonts w:ascii="Tahoma" w:hAnsi="Tahoma" w:cs="Tahoma"/>
        </w:rPr>
        <w:t xml:space="preserve">En effet le corps réduit de la bougie et sa mèche basse reprennent certaines caractéristique du marteau, qui se classe dans les chandeliers d’alerte. Proche d’un support majeur comme 133.10, cette chandelle </w:t>
      </w:r>
      <w:r w:rsidR="00B717F5">
        <w:rPr>
          <w:rFonts w:ascii="Tahoma" w:hAnsi="Tahoma" w:cs="Tahoma"/>
        </w:rPr>
        <w:t xml:space="preserve">montre que les vendeurs ont cherché à </w:t>
      </w:r>
      <w:r w:rsidR="009A7193">
        <w:rPr>
          <w:rFonts w:ascii="Tahoma" w:hAnsi="Tahoma" w:cs="Tahoma"/>
        </w:rPr>
        <w:t>réaliser</w:t>
      </w:r>
      <w:r w:rsidR="00B717F5">
        <w:rPr>
          <w:rFonts w:ascii="Tahoma" w:hAnsi="Tahoma" w:cs="Tahoma"/>
        </w:rPr>
        <w:t xml:space="preserve"> leurs gains à l’approche </w:t>
      </w:r>
      <w:r w:rsidR="00FB5E5E">
        <w:rPr>
          <w:rFonts w:ascii="Tahoma" w:hAnsi="Tahoma" w:cs="Tahoma"/>
        </w:rPr>
        <w:t>de l’obstacle</w:t>
      </w:r>
      <w:r w:rsidR="00B717F5">
        <w:rPr>
          <w:rFonts w:ascii="Tahoma" w:hAnsi="Tahoma" w:cs="Tahoma"/>
        </w:rPr>
        <w:t xml:space="preserve">. </w:t>
      </w:r>
      <w:r w:rsidR="0079243E">
        <w:rPr>
          <w:rFonts w:ascii="Tahoma" w:hAnsi="Tahoma" w:cs="Tahoma"/>
        </w:rPr>
        <w:t>Quoi qu’il en soit, le marteau en tant que bougie d’</w:t>
      </w:r>
      <w:r w:rsidR="009A7193">
        <w:rPr>
          <w:rFonts w:ascii="Tahoma" w:hAnsi="Tahoma" w:cs="Tahoma"/>
        </w:rPr>
        <w:t>indécision</w:t>
      </w:r>
      <w:r w:rsidR="0079243E">
        <w:rPr>
          <w:rFonts w:ascii="Tahoma" w:hAnsi="Tahoma" w:cs="Tahoma"/>
        </w:rPr>
        <w:t xml:space="preserve"> a besoin d’une confirmation. Une poursuite de la hausse incitera le reste des vendeurs à revoir leurs positions avant l’arrivée de nouveaux acheteurs. </w:t>
      </w:r>
    </w:p>
    <w:p w14:paraId="483384D9" w14:textId="77777777" w:rsidR="006F3D7D" w:rsidRDefault="006F3D7D"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041B5B9A" w:rsidR="00583BC8" w:rsidRDefault="0061356F" w:rsidP="00B41C02">
      <w:pPr>
        <w:jc w:val="both"/>
        <w:rPr>
          <w:rFonts w:ascii="Tahoma" w:hAnsi="Tahoma" w:cs="Tahoma"/>
        </w:rPr>
      </w:pPr>
      <w:r>
        <w:rPr>
          <w:noProof/>
        </w:rPr>
        <w:drawing>
          <wp:inline distT="0" distB="0" distL="0" distR="0" wp14:anchorId="2451020D" wp14:editId="14C186C2">
            <wp:extent cx="6268720" cy="47015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68720" cy="4701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61D4C184" w:rsidR="00467005" w:rsidRDefault="00AE0AB7" w:rsidP="00041E45">
      <w:pPr>
        <w:jc w:val="both"/>
        <w:rPr>
          <w:rFonts w:ascii="Tahoma" w:hAnsi="Tahoma" w:cs="Tahoma"/>
        </w:rPr>
      </w:pPr>
      <w:r>
        <w:rPr>
          <w:rFonts w:ascii="Tahoma" w:hAnsi="Tahoma" w:cs="Tahoma"/>
        </w:rPr>
        <w:t xml:space="preserve">Le court terme laisse penser que le l’alerte haussière hebdomadaire sera confirmée au cours des séances à venir. L’avalement haussier qui a pris forme </w:t>
      </w:r>
      <w:r w:rsidR="002501B3">
        <w:rPr>
          <w:rFonts w:ascii="Tahoma" w:hAnsi="Tahoma" w:cs="Tahoma"/>
        </w:rPr>
        <w:t>sur cette unité de temps</w:t>
      </w:r>
      <w:r w:rsidR="00ED2214">
        <w:rPr>
          <w:rFonts w:ascii="Tahoma" w:hAnsi="Tahoma" w:cs="Tahoma"/>
        </w:rPr>
        <w:t>, se classe dans les figures de retournement.</w:t>
      </w:r>
      <w:r w:rsidR="00EA472E">
        <w:rPr>
          <w:rFonts w:ascii="Tahoma" w:hAnsi="Tahoma" w:cs="Tahoma"/>
        </w:rPr>
        <w:t xml:space="preserve"> L’ouverture en baisse par rapport à la </w:t>
      </w:r>
      <w:r w:rsidR="009A7193">
        <w:rPr>
          <w:rFonts w:ascii="Tahoma" w:hAnsi="Tahoma" w:cs="Tahoma"/>
        </w:rPr>
        <w:t>clôture</w:t>
      </w:r>
      <w:r w:rsidR="00EA472E">
        <w:rPr>
          <w:rFonts w:ascii="Tahoma" w:hAnsi="Tahoma" w:cs="Tahoma"/>
        </w:rPr>
        <w:t xml:space="preserve"> précédente</w:t>
      </w:r>
      <w:r w:rsidR="002E0B8F">
        <w:rPr>
          <w:rFonts w:ascii="Tahoma" w:hAnsi="Tahoma" w:cs="Tahoma"/>
        </w:rPr>
        <w:t xml:space="preserve">, </w:t>
      </w:r>
      <w:r w:rsidR="006F3D7D">
        <w:rPr>
          <w:rFonts w:ascii="Tahoma" w:hAnsi="Tahoma" w:cs="Tahoma"/>
        </w:rPr>
        <w:t xml:space="preserve">et </w:t>
      </w:r>
      <w:r w:rsidR="002E0B8F">
        <w:rPr>
          <w:rFonts w:ascii="Tahoma" w:hAnsi="Tahoma" w:cs="Tahoma"/>
        </w:rPr>
        <w:t xml:space="preserve">avant </w:t>
      </w:r>
      <w:r w:rsidR="006F3D7D">
        <w:rPr>
          <w:rFonts w:ascii="Tahoma" w:hAnsi="Tahoma" w:cs="Tahoma"/>
        </w:rPr>
        <w:t>le</w:t>
      </w:r>
      <w:r w:rsidR="002E0B8F">
        <w:rPr>
          <w:rFonts w:ascii="Tahoma" w:hAnsi="Tahoma" w:cs="Tahoma"/>
        </w:rPr>
        <w:t xml:space="preserve"> rebond</w:t>
      </w:r>
      <w:r w:rsidR="006F3D7D">
        <w:rPr>
          <w:rFonts w:ascii="Tahoma" w:hAnsi="Tahoma" w:cs="Tahoma"/>
        </w:rPr>
        <w:t>,</w:t>
      </w:r>
      <w:r w:rsidR="002E0B8F">
        <w:rPr>
          <w:rFonts w:ascii="Tahoma" w:hAnsi="Tahoma" w:cs="Tahoma"/>
        </w:rPr>
        <w:t xml:space="preserve"> </w:t>
      </w:r>
      <w:r w:rsidR="006F3D7D">
        <w:rPr>
          <w:rFonts w:ascii="Tahoma" w:hAnsi="Tahoma" w:cs="Tahoma"/>
        </w:rPr>
        <w:t>ainsi que</w:t>
      </w:r>
      <w:r w:rsidR="00EA472E">
        <w:rPr>
          <w:rFonts w:ascii="Tahoma" w:hAnsi="Tahoma" w:cs="Tahoma"/>
        </w:rPr>
        <w:t xml:space="preserve"> l’absence de mèche haute montre</w:t>
      </w:r>
      <w:r w:rsidR="002E0B8F">
        <w:rPr>
          <w:rFonts w:ascii="Tahoma" w:hAnsi="Tahoma" w:cs="Tahoma"/>
        </w:rPr>
        <w:t>nt</w:t>
      </w:r>
      <w:r w:rsidR="00EA472E">
        <w:rPr>
          <w:rFonts w:ascii="Tahoma" w:hAnsi="Tahoma" w:cs="Tahoma"/>
        </w:rPr>
        <w:t xml:space="preserve"> une </w:t>
      </w:r>
      <w:r w:rsidR="008A7E61">
        <w:rPr>
          <w:rFonts w:ascii="Tahoma" w:hAnsi="Tahoma" w:cs="Tahoma"/>
        </w:rPr>
        <w:t xml:space="preserve">conviction </w:t>
      </w:r>
      <w:r w:rsidR="002E0B8F">
        <w:rPr>
          <w:rFonts w:ascii="Tahoma" w:hAnsi="Tahoma" w:cs="Tahoma"/>
        </w:rPr>
        <w:t>forte de la part des acheteurs.</w:t>
      </w:r>
    </w:p>
    <w:p w14:paraId="13E379A7" w14:textId="541DED6C" w:rsidR="00233B27" w:rsidRDefault="00233B27" w:rsidP="00041E45">
      <w:pPr>
        <w:jc w:val="both"/>
        <w:rPr>
          <w:rFonts w:ascii="Tahoma" w:hAnsi="Tahoma" w:cs="Tahoma"/>
        </w:rPr>
      </w:pPr>
      <w:r>
        <w:rPr>
          <w:rFonts w:ascii="Tahoma" w:hAnsi="Tahoma" w:cs="Tahoma"/>
        </w:rPr>
        <w:t xml:space="preserve">Dans  ce contexte, après un plus bas en semaine à 133.67, les prix </w:t>
      </w:r>
      <w:r w:rsidR="001C54CF">
        <w:rPr>
          <w:rFonts w:ascii="Tahoma" w:hAnsi="Tahoma" w:cs="Tahoma"/>
        </w:rPr>
        <w:t>devraient poursuivre leur progression pour revenir sur la zone d’équilibre matérialisée par le plat de 137.75.</w:t>
      </w:r>
      <w:r w:rsidR="001B2C8D">
        <w:rPr>
          <w:rFonts w:ascii="Tahoma" w:hAnsi="Tahoma" w:cs="Tahoma"/>
        </w:rPr>
        <w:t xml:space="preserve"> Ce point d’équilibre restera une zone de forte incertitude où le dépassement ne peut être acquit dès aujourd’hui. Mais après une </w:t>
      </w:r>
      <w:r w:rsidR="009A7193">
        <w:rPr>
          <w:rFonts w:ascii="Tahoma" w:hAnsi="Tahoma" w:cs="Tahoma"/>
        </w:rPr>
        <w:t>clôture</w:t>
      </w:r>
      <w:r w:rsidR="001B2C8D">
        <w:rPr>
          <w:rFonts w:ascii="Tahoma" w:hAnsi="Tahoma" w:cs="Tahoma"/>
        </w:rPr>
        <w:t xml:space="preserve"> sur 135.31, cette cible donne un potentiel de hausse </w:t>
      </w:r>
      <w:r w:rsidR="009A7193">
        <w:rPr>
          <w:rFonts w:ascii="Tahoma" w:hAnsi="Tahoma" w:cs="Tahoma"/>
        </w:rPr>
        <w:t>dans</w:t>
      </w:r>
      <w:r w:rsidR="001B2C8D">
        <w:rPr>
          <w:rFonts w:ascii="Tahoma" w:hAnsi="Tahoma" w:cs="Tahoma"/>
        </w:rPr>
        <w:t xml:space="preserve"> un premier temps d’un peu plus de deux figures. </w:t>
      </w:r>
    </w:p>
    <w:p w14:paraId="10BB9766" w14:textId="77777777" w:rsidR="00723F77" w:rsidRDefault="00723F77" w:rsidP="00041E45">
      <w:pPr>
        <w:jc w:val="both"/>
        <w:rPr>
          <w:rFonts w:ascii="Tahoma" w:hAnsi="Tahoma" w:cs="Tahoma"/>
        </w:rPr>
      </w:pPr>
    </w:p>
    <w:p w14:paraId="258EB8FF" w14:textId="668EDB95"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645E4B">
        <w:rPr>
          <w:rFonts w:ascii="Tahoma" w:hAnsi="Tahoma" w:cs="Tahoma"/>
        </w:rPr>
        <w:t xml:space="preserve"> Vers un retour sur le point d’équilibre de 137.75.</w:t>
      </w:r>
    </w:p>
    <w:p w14:paraId="655E9AC0" w14:textId="73891DA0" w:rsidR="00723F77" w:rsidRDefault="00723F77"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B2C8D"/>
    <w:rsid w:val="001C54CF"/>
    <w:rsid w:val="001D474B"/>
    <w:rsid w:val="001F650A"/>
    <w:rsid w:val="002003AD"/>
    <w:rsid w:val="00233B27"/>
    <w:rsid w:val="002421FE"/>
    <w:rsid w:val="002501B3"/>
    <w:rsid w:val="00262E25"/>
    <w:rsid w:val="00263ED0"/>
    <w:rsid w:val="002A1F8E"/>
    <w:rsid w:val="002B5CB1"/>
    <w:rsid w:val="002C0A31"/>
    <w:rsid w:val="002E0B8F"/>
    <w:rsid w:val="002F54B0"/>
    <w:rsid w:val="00303214"/>
    <w:rsid w:val="0030643B"/>
    <w:rsid w:val="00337611"/>
    <w:rsid w:val="00340FD9"/>
    <w:rsid w:val="00341F26"/>
    <w:rsid w:val="00352DD9"/>
    <w:rsid w:val="003767E0"/>
    <w:rsid w:val="00397D3D"/>
    <w:rsid w:val="0040171B"/>
    <w:rsid w:val="00467005"/>
    <w:rsid w:val="004851BA"/>
    <w:rsid w:val="004A2D2D"/>
    <w:rsid w:val="004A5154"/>
    <w:rsid w:val="004F48EE"/>
    <w:rsid w:val="00531928"/>
    <w:rsid w:val="005440A4"/>
    <w:rsid w:val="00546A5A"/>
    <w:rsid w:val="00566580"/>
    <w:rsid w:val="00567AF3"/>
    <w:rsid w:val="00583BC8"/>
    <w:rsid w:val="0061356F"/>
    <w:rsid w:val="00645E4B"/>
    <w:rsid w:val="00654380"/>
    <w:rsid w:val="00664BE1"/>
    <w:rsid w:val="006B055C"/>
    <w:rsid w:val="006E32BB"/>
    <w:rsid w:val="006E38E0"/>
    <w:rsid w:val="006F3D7D"/>
    <w:rsid w:val="00710599"/>
    <w:rsid w:val="00723F77"/>
    <w:rsid w:val="00744696"/>
    <w:rsid w:val="00772067"/>
    <w:rsid w:val="0077545D"/>
    <w:rsid w:val="0079243E"/>
    <w:rsid w:val="007A0A4B"/>
    <w:rsid w:val="007A0E6C"/>
    <w:rsid w:val="007B1237"/>
    <w:rsid w:val="007B661D"/>
    <w:rsid w:val="007D19FF"/>
    <w:rsid w:val="007D2085"/>
    <w:rsid w:val="007D4181"/>
    <w:rsid w:val="0083454A"/>
    <w:rsid w:val="00837B38"/>
    <w:rsid w:val="00896554"/>
    <w:rsid w:val="008A7407"/>
    <w:rsid w:val="008A7E61"/>
    <w:rsid w:val="008F10C2"/>
    <w:rsid w:val="00902D2F"/>
    <w:rsid w:val="00961FDF"/>
    <w:rsid w:val="00983B7D"/>
    <w:rsid w:val="009A37C2"/>
    <w:rsid w:val="009A7193"/>
    <w:rsid w:val="009D3B84"/>
    <w:rsid w:val="009F3AB8"/>
    <w:rsid w:val="00A11606"/>
    <w:rsid w:val="00A6401C"/>
    <w:rsid w:val="00A81AB7"/>
    <w:rsid w:val="00AA522C"/>
    <w:rsid w:val="00AE0AB7"/>
    <w:rsid w:val="00AE7F3B"/>
    <w:rsid w:val="00B34260"/>
    <w:rsid w:val="00B41C02"/>
    <w:rsid w:val="00B4335A"/>
    <w:rsid w:val="00B50E38"/>
    <w:rsid w:val="00B554B8"/>
    <w:rsid w:val="00B64EE0"/>
    <w:rsid w:val="00B717F5"/>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E5444"/>
    <w:rsid w:val="00DF072F"/>
    <w:rsid w:val="00E32014"/>
    <w:rsid w:val="00E3727C"/>
    <w:rsid w:val="00EA472E"/>
    <w:rsid w:val="00EB58BA"/>
    <w:rsid w:val="00ED2214"/>
    <w:rsid w:val="00EE6B93"/>
    <w:rsid w:val="00F04A6E"/>
    <w:rsid w:val="00F04DEF"/>
    <w:rsid w:val="00F31070"/>
    <w:rsid w:val="00F53F10"/>
    <w:rsid w:val="00F636F8"/>
    <w:rsid w:val="00FA2C8E"/>
    <w:rsid w:val="00FB5E5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1987</TotalTime>
  <Pages>3</Pages>
  <Words>442</Words>
  <Characters>2431</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112</cp:revision>
  <dcterms:created xsi:type="dcterms:W3CDTF">2021-11-25T09:44:00Z</dcterms:created>
  <dcterms:modified xsi:type="dcterms:W3CDTF">2023-02-19T10:47:00Z</dcterms:modified>
</cp:coreProperties>
</file>